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A57" w:rsidRPr="001B1038" w:rsidRDefault="00C40E06" w:rsidP="001B10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-90170</wp:posOffset>
                </wp:positionV>
                <wp:extent cx="5695950" cy="400050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86DC4" id="Rectángulo 4" o:spid="_x0000_s1026" style="position:absolute;margin-left:-4.8pt;margin-top:-7.1pt;width:448.5pt;height:3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  <w:r w:rsidR="008F3D1E" w:rsidRPr="001B1038">
        <w:rPr>
          <w:rFonts w:ascii="Times New Roman" w:hAnsi="Times New Roman" w:cs="Times New Roman"/>
          <w:b/>
          <w:sz w:val="24"/>
          <w:szCs w:val="24"/>
        </w:rPr>
        <w:t xml:space="preserve">Análisis indicadores financieros </w:t>
      </w:r>
      <w:r w:rsidR="007D3E86">
        <w:rPr>
          <w:rFonts w:ascii="Times New Roman" w:hAnsi="Times New Roman" w:cs="Times New Roman"/>
          <w:b/>
          <w:sz w:val="24"/>
          <w:szCs w:val="24"/>
        </w:rPr>
        <w:t>Software</w:t>
      </w:r>
    </w:p>
    <w:p w:rsidR="008F3D1E" w:rsidRDefault="008F3D1E"/>
    <w:p w:rsidR="00381EBF" w:rsidRDefault="00381EBF" w:rsidP="0088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F42" w:rsidRPr="008C544B" w:rsidRDefault="00883F42" w:rsidP="0088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C544B">
        <w:rPr>
          <w:rFonts w:ascii="Times New Roman" w:hAnsi="Times New Roman" w:cs="Times New Roman"/>
          <w:sz w:val="24"/>
          <w:szCs w:val="24"/>
        </w:rPr>
        <w:t xml:space="preserve">on el fin de identificar los posibles proveedores en el mercado de </w:t>
      </w:r>
      <w:r>
        <w:rPr>
          <w:rFonts w:ascii="Times New Roman" w:hAnsi="Times New Roman" w:cs="Times New Roman"/>
          <w:sz w:val="24"/>
          <w:szCs w:val="24"/>
        </w:rPr>
        <w:t xml:space="preserve">este servicio, </w:t>
      </w:r>
      <w:r w:rsidRPr="008C544B">
        <w:rPr>
          <w:rFonts w:ascii="Times New Roman" w:hAnsi="Times New Roman" w:cs="Times New Roman"/>
          <w:sz w:val="24"/>
          <w:szCs w:val="24"/>
        </w:rPr>
        <w:t>se tomó la información suministrada</w:t>
      </w:r>
      <w:r>
        <w:rPr>
          <w:rFonts w:ascii="Times New Roman" w:hAnsi="Times New Roman" w:cs="Times New Roman"/>
          <w:sz w:val="24"/>
          <w:szCs w:val="24"/>
        </w:rPr>
        <w:t xml:space="preserve"> por la Superintendencia de Sociedades</w:t>
      </w:r>
      <w:r w:rsidRPr="008C544B">
        <w:rPr>
          <w:rFonts w:ascii="Times New Roman" w:hAnsi="Times New Roman" w:cs="Times New Roman"/>
          <w:sz w:val="24"/>
          <w:szCs w:val="24"/>
        </w:rPr>
        <w:t xml:space="preserve"> en la base de datos del Sistema de Información </w:t>
      </w:r>
      <w:r>
        <w:rPr>
          <w:rFonts w:ascii="Times New Roman" w:hAnsi="Times New Roman" w:cs="Times New Roman"/>
          <w:sz w:val="24"/>
          <w:szCs w:val="24"/>
        </w:rPr>
        <w:t xml:space="preserve">y Reporte </w:t>
      </w:r>
      <w:r w:rsidRPr="008C544B">
        <w:rPr>
          <w:rFonts w:ascii="Times New Roman" w:hAnsi="Times New Roman" w:cs="Times New Roman"/>
          <w:sz w:val="24"/>
          <w:szCs w:val="24"/>
        </w:rPr>
        <w:t xml:space="preserve">Empresarial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C544B">
        <w:rPr>
          <w:rFonts w:ascii="Times New Roman" w:hAnsi="Times New Roman" w:cs="Times New Roman"/>
          <w:sz w:val="24"/>
          <w:szCs w:val="24"/>
        </w:rPr>
        <w:t>SIREM actualizada al</w:t>
      </w:r>
      <w:r>
        <w:rPr>
          <w:rFonts w:ascii="Times New Roman" w:hAnsi="Times New Roman" w:cs="Times New Roman"/>
          <w:sz w:val="24"/>
          <w:szCs w:val="24"/>
        </w:rPr>
        <w:t xml:space="preserve"> 31 de diciembre de</w:t>
      </w:r>
      <w:r w:rsidR="00514C14">
        <w:rPr>
          <w:rFonts w:ascii="Times New Roman" w:hAnsi="Times New Roman" w:cs="Times New Roman"/>
          <w:sz w:val="24"/>
          <w:szCs w:val="24"/>
        </w:rPr>
        <w:t xml:space="preserve"> 2016</w:t>
      </w:r>
      <w:r w:rsidRPr="008C544B">
        <w:rPr>
          <w:rFonts w:ascii="Times New Roman" w:hAnsi="Times New Roman" w:cs="Times New Roman"/>
          <w:sz w:val="24"/>
          <w:szCs w:val="24"/>
        </w:rPr>
        <w:t xml:space="preserve">, de acuerdo con </w:t>
      </w:r>
      <w:r>
        <w:rPr>
          <w:rFonts w:ascii="Times New Roman" w:hAnsi="Times New Roman" w:cs="Times New Roman"/>
          <w:sz w:val="24"/>
          <w:szCs w:val="24"/>
        </w:rPr>
        <w:t xml:space="preserve">los macrosectores de </w:t>
      </w:r>
      <w:r w:rsidR="00514C14">
        <w:rPr>
          <w:rFonts w:ascii="Times New Roman" w:hAnsi="Times New Roman" w:cs="Times New Roman"/>
          <w:sz w:val="24"/>
          <w:szCs w:val="24"/>
        </w:rPr>
        <w:t>comercio</w:t>
      </w:r>
      <w:r w:rsidR="007D3E86">
        <w:rPr>
          <w:rFonts w:ascii="Times New Roman" w:hAnsi="Times New Roman" w:cs="Times New Roman"/>
          <w:sz w:val="24"/>
          <w:szCs w:val="24"/>
        </w:rPr>
        <w:t xml:space="preserve"> y fabricación</w:t>
      </w:r>
      <w:r>
        <w:rPr>
          <w:rFonts w:ascii="Times New Roman" w:hAnsi="Times New Roman" w:cs="Times New Roman"/>
          <w:sz w:val="24"/>
          <w:szCs w:val="24"/>
        </w:rPr>
        <w:t>, se establecieron</w:t>
      </w:r>
      <w:r w:rsidRPr="008C544B">
        <w:rPr>
          <w:rFonts w:ascii="Times New Roman" w:hAnsi="Times New Roman" w:cs="Times New Roman"/>
          <w:sz w:val="24"/>
          <w:szCs w:val="24"/>
        </w:rPr>
        <w:t xml:space="preserve"> las actividades que se desprenden de estos sectores</w:t>
      </w:r>
      <w:r>
        <w:rPr>
          <w:rFonts w:ascii="Times New Roman" w:hAnsi="Times New Roman" w:cs="Times New Roman"/>
          <w:sz w:val="24"/>
          <w:szCs w:val="24"/>
        </w:rPr>
        <w:t xml:space="preserve"> y que</w:t>
      </w:r>
      <w:r w:rsidRPr="008C544B">
        <w:rPr>
          <w:rFonts w:ascii="Times New Roman" w:hAnsi="Times New Roman" w:cs="Times New Roman"/>
          <w:sz w:val="24"/>
          <w:szCs w:val="24"/>
        </w:rPr>
        <w:t xml:space="preserve"> están directamente relacionadas con el objeto contractual, así:</w:t>
      </w:r>
    </w:p>
    <w:p w:rsidR="00883F42" w:rsidRPr="008C544B" w:rsidRDefault="00883F42" w:rsidP="00883F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D44" w:rsidRPr="007D3E86" w:rsidRDefault="00883F42" w:rsidP="00514C14">
      <w:pPr>
        <w:pStyle w:val="Prrafodelista"/>
        <w:numPr>
          <w:ilvl w:val="0"/>
          <w:numId w:val="3"/>
        </w:numPr>
        <w:spacing w:after="0"/>
        <w:ind w:left="708"/>
        <w:jc w:val="both"/>
        <w:rPr>
          <w:rFonts w:ascii="Times New Roman" w:hAnsi="Times New Roman" w:cs="Times New Roman"/>
        </w:rPr>
      </w:pPr>
      <w:r w:rsidRPr="00514C14">
        <w:rPr>
          <w:rFonts w:ascii="Times New Roman" w:hAnsi="Times New Roman" w:cs="Times New Roman"/>
          <w:sz w:val="24"/>
          <w:szCs w:val="24"/>
        </w:rPr>
        <w:t>(</w:t>
      </w:r>
      <w:r w:rsidR="00514C14" w:rsidRPr="00514C14">
        <w:rPr>
          <w:rFonts w:ascii="Times New Roman" w:hAnsi="Times New Roman" w:cs="Times New Roman"/>
          <w:sz w:val="24"/>
          <w:szCs w:val="24"/>
        </w:rPr>
        <w:t>4651) - Comercio al po</w:t>
      </w:r>
      <w:bookmarkStart w:id="0" w:name="_GoBack"/>
      <w:bookmarkEnd w:id="0"/>
      <w:r w:rsidR="00514C14" w:rsidRPr="00514C14">
        <w:rPr>
          <w:rFonts w:ascii="Times New Roman" w:hAnsi="Times New Roman" w:cs="Times New Roman"/>
          <w:sz w:val="24"/>
          <w:szCs w:val="24"/>
        </w:rPr>
        <w:t>r mayor de computadores, equipo periférico y programas de informática</w:t>
      </w:r>
      <w:r w:rsidR="007D4D44" w:rsidRPr="00514C14">
        <w:rPr>
          <w:rFonts w:ascii="Times New Roman" w:hAnsi="Times New Roman" w:cs="Times New Roman"/>
          <w:i/>
          <w:sz w:val="24"/>
        </w:rPr>
        <w:t>.</w:t>
      </w:r>
      <w:r w:rsidR="007D4D44">
        <w:rPr>
          <w:rStyle w:val="Refdenotaalpie"/>
          <w:rFonts w:ascii="Times New Roman" w:hAnsi="Times New Roman" w:cs="Times New Roman"/>
          <w:sz w:val="24"/>
        </w:rPr>
        <w:footnoteReference w:id="1"/>
      </w:r>
    </w:p>
    <w:p w:rsidR="007D3E86" w:rsidRPr="007D3E86" w:rsidRDefault="007D3E86" w:rsidP="007D3E86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7D3E86">
        <w:rPr>
          <w:rFonts w:ascii="Times New Roman" w:hAnsi="Times New Roman" w:cs="Times New Roman"/>
          <w:sz w:val="24"/>
        </w:rPr>
        <w:t>5820</w:t>
      </w:r>
      <w:r>
        <w:rPr>
          <w:rFonts w:ascii="Times New Roman" w:hAnsi="Times New Roman" w:cs="Times New Roman"/>
          <w:sz w:val="24"/>
        </w:rPr>
        <w:t>) -</w:t>
      </w:r>
      <w:r w:rsidRPr="007D3E86">
        <w:rPr>
          <w:rFonts w:ascii="Times New Roman" w:hAnsi="Times New Roman" w:cs="Times New Roman"/>
          <w:sz w:val="24"/>
        </w:rPr>
        <w:t xml:space="preserve"> Edición de programas de informática (software)</w:t>
      </w:r>
    </w:p>
    <w:p w:rsidR="007D4D44" w:rsidRPr="007D4D44" w:rsidRDefault="007D4D44" w:rsidP="007D4D44">
      <w:pPr>
        <w:spacing w:after="0"/>
        <w:jc w:val="both"/>
        <w:rPr>
          <w:rFonts w:ascii="Times New Roman" w:hAnsi="Times New Roman" w:cs="Times New Roman"/>
        </w:rPr>
      </w:pPr>
    </w:p>
    <w:p w:rsidR="00883F42" w:rsidRDefault="00883F42" w:rsidP="00883F42">
      <w:pPr>
        <w:spacing w:after="0"/>
        <w:jc w:val="both"/>
        <w:rPr>
          <w:rFonts w:ascii="Times New Roman" w:hAnsi="Times New Roman" w:cs="Times New Roman"/>
          <w:sz w:val="24"/>
        </w:rPr>
      </w:pPr>
      <w:r w:rsidRPr="00592C8E">
        <w:rPr>
          <w:rFonts w:ascii="Times New Roman" w:hAnsi="Times New Roman" w:cs="Times New Roman"/>
        </w:rPr>
        <w:t xml:space="preserve">Con base en la información anterior, se </w:t>
      </w:r>
      <w:r>
        <w:rPr>
          <w:rFonts w:ascii="Times New Roman" w:hAnsi="Times New Roman" w:cs="Times New Roman"/>
          <w:sz w:val="24"/>
        </w:rPr>
        <w:t>establece</w:t>
      </w:r>
      <w:r w:rsidRPr="00F31FC6">
        <w:rPr>
          <w:rFonts w:ascii="Times New Roman" w:hAnsi="Times New Roman" w:cs="Times New Roman"/>
          <w:sz w:val="24"/>
        </w:rPr>
        <w:t xml:space="preserve"> el límite apropiado de los indicadores teniendo en cuenta el tamaño de la muestra (número de datos de la muestra)</w:t>
      </w:r>
      <w:r w:rsidR="00CE2E93">
        <w:rPr>
          <w:rStyle w:val="Refdenotaalpie"/>
          <w:rFonts w:ascii="Times New Roman" w:hAnsi="Times New Roman" w:cs="Times New Roman"/>
          <w:sz w:val="24"/>
        </w:rPr>
        <w:footnoteReference w:id="2"/>
      </w:r>
      <w:r w:rsidRPr="00F31FC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para este caso se cuenta con la información Financiera a diciembre</w:t>
      </w:r>
      <w:r w:rsidR="007D3E86">
        <w:rPr>
          <w:rFonts w:ascii="Times New Roman" w:hAnsi="Times New Roman" w:cs="Times New Roman"/>
          <w:sz w:val="24"/>
        </w:rPr>
        <w:t xml:space="preserve"> 31 de 2016 de 29</w:t>
      </w:r>
      <w:r>
        <w:rPr>
          <w:rFonts w:ascii="Times New Roman" w:hAnsi="Times New Roman" w:cs="Times New Roman"/>
          <w:sz w:val="24"/>
        </w:rPr>
        <w:t xml:space="preserve"> empresasen las activid</w:t>
      </w:r>
      <w:r w:rsidR="001B1038">
        <w:rPr>
          <w:rFonts w:ascii="Times New Roman" w:hAnsi="Times New Roman" w:cs="Times New Roman"/>
          <w:sz w:val="24"/>
        </w:rPr>
        <w:t>ades relacionadas anteriormente</w:t>
      </w:r>
      <w:r>
        <w:rPr>
          <w:rFonts w:ascii="Times New Roman" w:hAnsi="Times New Roman" w:cs="Times New Roman"/>
          <w:sz w:val="24"/>
        </w:rPr>
        <w:t>.</w:t>
      </w:r>
    </w:p>
    <w:p w:rsidR="00883F42" w:rsidRDefault="00883F42" w:rsidP="00883F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81EBF" w:rsidRPr="00660DE5" w:rsidRDefault="00381EBF" w:rsidP="00381EBF">
      <w:pPr>
        <w:jc w:val="both"/>
        <w:rPr>
          <w:rFonts w:ascii="Times New Roman" w:hAnsi="Times New Roman" w:cs="Times New Roman"/>
          <w:sz w:val="24"/>
          <w:szCs w:val="24"/>
        </w:rPr>
      </w:pPr>
      <w:r w:rsidRPr="00660DE5">
        <w:rPr>
          <w:rFonts w:ascii="Times New Roman" w:hAnsi="Times New Roman" w:cs="Times New Roman"/>
          <w:sz w:val="24"/>
        </w:rPr>
        <w:t>Realizando las estimaciones estadísticas de la muestra, con el fin de determinar los indicadores financieros para el presente proceso, se obtiene</w:t>
      </w:r>
      <w:r w:rsidRPr="00660DE5">
        <w:rPr>
          <w:rFonts w:ascii="Times New Roman" w:hAnsi="Times New Roman" w:cs="Times New Roman"/>
          <w:sz w:val="24"/>
          <w:szCs w:val="24"/>
        </w:rPr>
        <w:t xml:space="preserve"> que según la información de la muestra aleatoria de empresas, los indicadores </w:t>
      </w:r>
      <w:r>
        <w:rPr>
          <w:rFonts w:ascii="Times New Roman" w:hAnsi="Times New Roman" w:cs="Times New Roman"/>
          <w:sz w:val="24"/>
          <w:szCs w:val="24"/>
        </w:rPr>
        <w:t>mostraron</w:t>
      </w:r>
      <w:r w:rsidRPr="00660DE5">
        <w:rPr>
          <w:rFonts w:ascii="Times New Roman" w:hAnsi="Times New Roman" w:cs="Times New Roman"/>
          <w:sz w:val="24"/>
          <w:szCs w:val="24"/>
        </w:rPr>
        <w:t xml:space="preserve"> alta dispersión en los datos</w:t>
      </w:r>
      <w:r>
        <w:rPr>
          <w:rFonts w:ascii="Times New Roman" w:hAnsi="Times New Roman" w:cs="Times New Roman"/>
          <w:sz w:val="24"/>
          <w:szCs w:val="24"/>
        </w:rPr>
        <w:t xml:space="preserve"> (Ver anexos)</w:t>
      </w:r>
      <w:r w:rsidRPr="00660DE5">
        <w:rPr>
          <w:rFonts w:ascii="Times New Roman" w:hAnsi="Times New Roman" w:cs="Times New Roman"/>
          <w:sz w:val="24"/>
          <w:szCs w:val="24"/>
        </w:rPr>
        <w:t>, por tal motivo se hace ne</w:t>
      </w:r>
      <w:r w:rsidR="00236A0A">
        <w:rPr>
          <w:rFonts w:ascii="Times New Roman" w:hAnsi="Times New Roman" w:cs="Times New Roman"/>
          <w:sz w:val="24"/>
          <w:szCs w:val="24"/>
        </w:rPr>
        <w:t>cesario realizar una poda del 5</w:t>
      </w:r>
      <w:r w:rsidRPr="00660DE5">
        <w:rPr>
          <w:rFonts w:ascii="Times New Roman" w:hAnsi="Times New Roman" w:cs="Times New Roman"/>
          <w:sz w:val="24"/>
          <w:szCs w:val="24"/>
        </w:rPr>
        <w:t>% de la muestra, para evitar datos atípicos que sesguen el establecimiento del indicador adecuado.  Obteniendo el siguiente resumen:</w:t>
      </w:r>
    </w:p>
    <w:p w:rsidR="00381EBF" w:rsidRDefault="00381EBF" w:rsidP="00883F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83F42" w:rsidRPr="00C013AA" w:rsidRDefault="00883F42" w:rsidP="00883F42">
      <w:pPr>
        <w:jc w:val="both"/>
        <w:rPr>
          <w:rFonts w:ascii="Times New Roman" w:hAnsi="Times New Roman" w:cs="Times New Roman"/>
          <w:sz w:val="24"/>
          <w:u w:val="single"/>
        </w:rPr>
      </w:pPr>
      <w:r w:rsidRPr="00C013AA">
        <w:rPr>
          <w:rFonts w:ascii="Times New Roman" w:hAnsi="Times New Roman" w:cs="Times New Roman"/>
          <w:sz w:val="24"/>
          <w:u w:val="single"/>
        </w:rPr>
        <w:t>Indicadores Capacidad Financiera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5103"/>
      </w:tblGrid>
      <w:tr w:rsidR="00995234" w:rsidRPr="00C013AA" w:rsidTr="0099523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234" w:rsidRPr="00995234" w:rsidRDefault="007D3E86" w:rsidP="0023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s-CO"/>
              </w:rPr>
              <w:t>1,23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34" w:rsidRPr="00C013AA" w:rsidRDefault="00995234" w:rsidP="0099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C01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Índice de Liquidez</w:t>
            </w:r>
            <w:r w:rsidR="00BD2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 xml:space="preserve"> mai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34" w:rsidRPr="00381EBF" w:rsidRDefault="00995234" w:rsidP="0051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CO"/>
              </w:rPr>
            </w:pPr>
            <w:r w:rsidRPr="00381E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CO"/>
              </w:rPr>
              <w:t>Relación entre activos corrientes y pasivos corrientes, muestra la capacidad de la empresa para pagar sus compromisos de corto plazo</w:t>
            </w:r>
          </w:p>
        </w:tc>
      </w:tr>
      <w:tr w:rsidR="00995234" w:rsidRPr="00C013AA" w:rsidTr="0099523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234" w:rsidRPr="00995234" w:rsidRDefault="007D3E86" w:rsidP="0099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s-CO"/>
              </w:rPr>
              <w:t>79</w:t>
            </w:r>
            <w:r w:rsidR="00995234" w:rsidRPr="009952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s-CO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34" w:rsidRPr="00C013AA" w:rsidRDefault="00995234" w:rsidP="0099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C01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Índice de Endeudamiento</w:t>
            </w:r>
            <w:r w:rsidR="00BD2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meni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34" w:rsidRPr="00381EBF" w:rsidRDefault="00995234" w:rsidP="0051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CO"/>
              </w:rPr>
            </w:pPr>
            <w:r w:rsidRPr="00381E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CO"/>
              </w:rPr>
              <w:t>Es una relación entre pasivo total y activo total, mide de qué forma participan los acreedores dentro de la empresa. Establece del total de la empresa cuanto pertenece a tercero y cuando a los dueños</w:t>
            </w:r>
          </w:p>
        </w:tc>
      </w:tr>
      <w:tr w:rsidR="00995234" w:rsidRPr="00C013AA" w:rsidTr="0099523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234" w:rsidRPr="00995234" w:rsidRDefault="007D3E86" w:rsidP="007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es-CO"/>
              </w:rPr>
              <w:t>0,0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34" w:rsidRPr="00C013AA" w:rsidRDefault="00995234" w:rsidP="0099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</w:pPr>
            <w:r w:rsidRPr="00C01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>Razón de cobertura de intereses</w:t>
            </w:r>
            <w:r w:rsidR="00BD2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CO"/>
              </w:rPr>
              <w:t xml:space="preserve"> mai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34" w:rsidRPr="00381EBF" w:rsidRDefault="00995234" w:rsidP="0051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CO"/>
              </w:rPr>
            </w:pPr>
            <w:r w:rsidRPr="00381EB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CO"/>
              </w:rPr>
              <w:t>Relación entre la utilidad operacional y los gastos financieros de intereses, muestra la capacidad de la empresa para generar utilidades en la operación que le permita atender sus compromisos financieros</w:t>
            </w:r>
          </w:p>
        </w:tc>
      </w:tr>
    </w:tbl>
    <w:p w:rsidR="00883F42" w:rsidRDefault="00883F42" w:rsidP="00883F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74719" w:rsidRDefault="00B74719" w:rsidP="00883F4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83F42" w:rsidRPr="001B1038" w:rsidRDefault="00883F42" w:rsidP="001B1038">
      <w:pPr>
        <w:jc w:val="both"/>
        <w:rPr>
          <w:rFonts w:ascii="Times New Roman" w:hAnsi="Times New Roman" w:cs="Times New Roman"/>
          <w:sz w:val="24"/>
          <w:u w:val="single"/>
        </w:rPr>
      </w:pPr>
      <w:r w:rsidRPr="00C013AA">
        <w:rPr>
          <w:rFonts w:ascii="Times New Roman" w:hAnsi="Times New Roman" w:cs="Times New Roman"/>
          <w:sz w:val="24"/>
          <w:u w:val="single"/>
        </w:rPr>
        <w:t>Indicadores Capacidad</w:t>
      </w:r>
      <w:r>
        <w:rPr>
          <w:rFonts w:ascii="Times New Roman" w:hAnsi="Times New Roman" w:cs="Times New Roman"/>
          <w:sz w:val="24"/>
          <w:u w:val="single"/>
        </w:rPr>
        <w:t xml:space="preserve"> Organizacional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5103"/>
      </w:tblGrid>
      <w:tr w:rsidR="00995234" w:rsidRPr="000226BA" w:rsidTr="0099523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234" w:rsidRPr="00995234" w:rsidRDefault="007D3E86" w:rsidP="0023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s-CO"/>
              </w:rPr>
              <w:t>0,11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34" w:rsidRPr="00995234" w:rsidRDefault="00995234" w:rsidP="0099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CO"/>
              </w:rPr>
            </w:pPr>
            <w:r w:rsidRPr="009952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CO"/>
              </w:rPr>
              <w:t>Rentabilidad Patrimonio</w:t>
            </w:r>
            <w:r w:rsidR="00BD21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CO"/>
              </w:rPr>
              <w:t>mai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34" w:rsidRPr="00381EBF" w:rsidRDefault="00995234" w:rsidP="0051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s-CO"/>
              </w:rPr>
            </w:pPr>
            <w:r w:rsidRPr="00381EBF">
              <w:rPr>
                <w:rFonts w:ascii="Times New Roman" w:eastAsia="Times New Roman" w:hAnsi="Times New Roman" w:cs="Times New Roman"/>
                <w:color w:val="000000"/>
                <w:sz w:val="20"/>
                <w:lang w:eastAsia="es-CO"/>
              </w:rPr>
              <w:t>Es una relación entre utilidad operacional y el patrimonio total, permite establecer el rendimiento en términos porcentuales de las inversiones de los dueños de la empresa en el periodo</w:t>
            </w:r>
          </w:p>
        </w:tc>
      </w:tr>
      <w:tr w:rsidR="00995234" w:rsidRPr="000226BA" w:rsidTr="0099523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234" w:rsidRPr="00995234" w:rsidRDefault="007D3E86" w:rsidP="007D3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s-C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es-CO"/>
              </w:rPr>
              <w:t>0,05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234" w:rsidRPr="00995234" w:rsidRDefault="00995234" w:rsidP="0099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CO"/>
              </w:rPr>
            </w:pPr>
            <w:r w:rsidRPr="0099523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CO"/>
              </w:rPr>
              <w:t>Rentabilidad Activos</w:t>
            </w:r>
            <w:r w:rsidR="00BD21C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es-CO"/>
              </w:rPr>
              <w:t>mai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234" w:rsidRPr="00381EBF" w:rsidRDefault="00995234" w:rsidP="00514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s-CO"/>
              </w:rPr>
            </w:pPr>
            <w:r w:rsidRPr="00381EBF">
              <w:rPr>
                <w:rFonts w:ascii="Times New Roman" w:eastAsia="Times New Roman" w:hAnsi="Times New Roman" w:cs="Times New Roman"/>
                <w:color w:val="000000"/>
                <w:sz w:val="20"/>
                <w:lang w:eastAsia="es-CO"/>
              </w:rPr>
              <w:t xml:space="preserve">Es una relación entre utilidad operacional y activo total, muestra la eficiencia de los activos en términos porcentuales en la generación de utilidad </w:t>
            </w:r>
          </w:p>
        </w:tc>
      </w:tr>
    </w:tbl>
    <w:p w:rsidR="00B74719" w:rsidRDefault="00B74719" w:rsidP="002B4892">
      <w:pPr>
        <w:spacing w:after="0"/>
        <w:rPr>
          <w:rFonts w:ascii="Times New Roman" w:hAnsi="Times New Roman" w:cs="Times New Roman"/>
          <w:b/>
        </w:rPr>
      </w:pPr>
    </w:p>
    <w:p w:rsidR="007D4D44" w:rsidRDefault="007D4D44" w:rsidP="002B4892">
      <w:pPr>
        <w:spacing w:after="0"/>
        <w:rPr>
          <w:rFonts w:ascii="Times New Roman" w:hAnsi="Times New Roman" w:cs="Times New Roman"/>
          <w:b/>
        </w:rPr>
      </w:pPr>
    </w:p>
    <w:p w:rsidR="00381EBF" w:rsidRDefault="00381EBF" w:rsidP="00381EBF">
      <w:pPr>
        <w:spacing w:after="0"/>
        <w:jc w:val="both"/>
        <w:rPr>
          <w:rFonts w:ascii="Times New Roman" w:hAnsi="Times New Roman" w:cs="Times New Roman"/>
        </w:rPr>
      </w:pPr>
    </w:p>
    <w:p w:rsidR="00381EBF" w:rsidRDefault="00381EBF" w:rsidP="00381EBF">
      <w:pPr>
        <w:jc w:val="both"/>
        <w:rPr>
          <w:rFonts w:ascii="Times New Roman" w:hAnsi="Times New Roman" w:cs="Times New Roman"/>
          <w:sz w:val="24"/>
          <w:szCs w:val="24"/>
        </w:rPr>
      </w:pPr>
      <w:r w:rsidRPr="00D707F9">
        <w:rPr>
          <w:rFonts w:ascii="Times New Roman" w:hAnsi="Times New Roman" w:cs="Times New Roman"/>
          <w:sz w:val="24"/>
          <w:szCs w:val="24"/>
        </w:rPr>
        <w:t>Se recomienda utilizar los indicadores</w:t>
      </w:r>
      <w:r>
        <w:rPr>
          <w:rFonts w:ascii="Times New Roman" w:hAnsi="Times New Roman" w:cs="Times New Roman"/>
          <w:sz w:val="24"/>
          <w:szCs w:val="24"/>
        </w:rPr>
        <w:t xml:space="preserve"> obtenidos del cuartil inferior de la muestra podada de empresas, con el objetivo de dar pluralidad al proceso, sin incurrir en riesgo de incumplimiento. Puesto que</w:t>
      </w:r>
      <w:r w:rsidRPr="00890285">
        <w:rPr>
          <w:rFonts w:ascii="Times New Roman" w:hAnsi="Times New Roman" w:cs="Times New Roman"/>
          <w:sz w:val="24"/>
          <w:szCs w:val="24"/>
        </w:rPr>
        <w:t xml:space="preserve"> la Entidad Estatal puede fijar límites más flexibles dados por el comportamiento del sector económico </w:t>
      </w:r>
      <w:r>
        <w:rPr>
          <w:rFonts w:ascii="Times New Roman" w:hAnsi="Times New Roman" w:cs="Times New Roman"/>
          <w:sz w:val="24"/>
          <w:szCs w:val="24"/>
        </w:rPr>
        <w:t xml:space="preserve">evaluando </w:t>
      </w:r>
      <w:r w:rsidRPr="00890285">
        <w:rPr>
          <w:rFonts w:ascii="Times New Roman" w:hAnsi="Times New Roman" w:cs="Times New Roman"/>
          <w:sz w:val="24"/>
          <w:szCs w:val="24"/>
        </w:rPr>
        <w:t>los valores máximos y mínimos del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890285">
        <w:rPr>
          <w:rFonts w:ascii="Times New Roman" w:hAnsi="Times New Roman" w:cs="Times New Roman"/>
          <w:sz w:val="24"/>
          <w:szCs w:val="24"/>
        </w:rPr>
        <w:t xml:space="preserve"> indicador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890285">
        <w:rPr>
          <w:rFonts w:ascii="Times New Roman" w:hAnsi="Times New Roman" w:cs="Times New Roman"/>
          <w:sz w:val="24"/>
          <w:szCs w:val="24"/>
        </w:rPr>
        <w:t xml:space="preserve"> para las empresas objeto de análisis</w:t>
      </w:r>
      <w:r>
        <w:rPr>
          <w:rStyle w:val="Refdenotaalpie"/>
          <w:rFonts w:ascii="Times New Roman" w:hAnsi="Times New Roman" w:cs="Times New Roman"/>
          <w:sz w:val="24"/>
          <w:szCs w:val="24"/>
        </w:rPr>
        <w:footnoteReference w:id="3"/>
      </w:r>
      <w:r w:rsidRPr="00890285">
        <w:rPr>
          <w:rFonts w:ascii="Times New Roman" w:hAnsi="Times New Roman" w:cs="Times New Roman"/>
          <w:sz w:val="24"/>
          <w:szCs w:val="24"/>
        </w:rPr>
        <w:t>.</w:t>
      </w:r>
    </w:p>
    <w:p w:rsidR="007D4D44" w:rsidRDefault="007D4D44" w:rsidP="007D4D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4D44" w:rsidRPr="00381EBF" w:rsidRDefault="007D4D44" w:rsidP="00381EBF">
      <w:pPr>
        <w:spacing w:after="0" w:line="240" w:lineRule="auto"/>
        <w:jc w:val="both"/>
        <w:rPr>
          <w:rFonts w:ascii="Gill Sans MT Condensed" w:hAnsi="Gill Sans MT Condensed" w:cs="Times New Roman"/>
          <w:b/>
          <w:sz w:val="32"/>
        </w:rPr>
      </w:pPr>
      <w:r w:rsidRPr="00381EBF">
        <w:rPr>
          <w:rFonts w:ascii="Gill Sans MT Condensed" w:hAnsi="Gill Sans MT Condensed" w:cs="Times New Roman"/>
          <w:b/>
          <w:sz w:val="32"/>
        </w:rPr>
        <w:t>Gustavo Ospina Agudelo</w:t>
      </w:r>
    </w:p>
    <w:p w:rsidR="007D4D44" w:rsidRPr="00381EBF" w:rsidRDefault="007D4D44" w:rsidP="00381EBF">
      <w:pPr>
        <w:spacing w:after="0" w:line="240" w:lineRule="auto"/>
        <w:jc w:val="both"/>
        <w:rPr>
          <w:rFonts w:ascii="Gill Sans MT Condensed" w:hAnsi="Gill Sans MT Condensed" w:cs="Times New Roman"/>
          <w:sz w:val="28"/>
        </w:rPr>
      </w:pPr>
      <w:r w:rsidRPr="00381EBF">
        <w:rPr>
          <w:rFonts w:ascii="Gill Sans MT Condensed" w:hAnsi="Gill Sans MT Condensed" w:cs="Times New Roman"/>
          <w:sz w:val="28"/>
        </w:rPr>
        <w:t>Contratista Secretaría Jurídica</w:t>
      </w:r>
    </w:p>
    <w:p w:rsidR="007D4D44" w:rsidRPr="00381EBF" w:rsidRDefault="007D4D44" w:rsidP="00381EBF">
      <w:pPr>
        <w:spacing w:after="0" w:line="240" w:lineRule="auto"/>
        <w:jc w:val="both"/>
        <w:rPr>
          <w:rFonts w:ascii="Gill Sans MT Condensed" w:hAnsi="Gill Sans MT Condensed" w:cs="Times New Roman"/>
          <w:sz w:val="28"/>
        </w:rPr>
      </w:pPr>
      <w:r w:rsidRPr="00381EBF">
        <w:rPr>
          <w:rFonts w:ascii="Gill Sans MT Condensed" w:hAnsi="Gill Sans MT Condensed" w:cs="Times New Roman"/>
          <w:sz w:val="28"/>
        </w:rPr>
        <w:t>Profesional Economía y Finanzas</w:t>
      </w:r>
    </w:p>
    <w:p w:rsidR="007D4D44" w:rsidRPr="00381EBF" w:rsidRDefault="007D4D44" w:rsidP="00381EBF">
      <w:pPr>
        <w:spacing w:after="0" w:line="240" w:lineRule="auto"/>
        <w:jc w:val="both"/>
        <w:rPr>
          <w:rFonts w:ascii="Gill Sans MT Condensed" w:hAnsi="Gill Sans MT Condensed" w:cs="Times New Roman"/>
          <w:sz w:val="28"/>
        </w:rPr>
      </w:pPr>
      <w:r w:rsidRPr="00381EBF">
        <w:rPr>
          <w:rFonts w:ascii="Gill Sans MT Condensed" w:hAnsi="Gill Sans MT Condensed" w:cs="Times New Roman"/>
          <w:sz w:val="28"/>
        </w:rPr>
        <w:t>T.P. 49120</w:t>
      </w:r>
    </w:p>
    <w:p w:rsidR="007D4D44" w:rsidRDefault="007D4D44" w:rsidP="002B4892">
      <w:pPr>
        <w:spacing w:after="0"/>
        <w:rPr>
          <w:rFonts w:ascii="Times New Roman" w:hAnsi="Times New Roman" w:cs="Times New Roman"/>
          <w:b/>
        </w:rPr>
      </w:pPr>
    </w:p>
    <w:p w:rsidR="007D4D44" w:rsidRDefault="007D4D44" w:rsidP="002B4892">
      <w:pPr>
        <w:spacing w:after="0"/>
        <w:rPr>
          <w:rFonts w:ascii="Times New Roman" w:hAnsi="Times New Roman" w:cs="Times New Roman"/>
          <w:b/>
        </w:rPr>
      </w:pPr>
    </w:p>
    <w:p w:rsidR="007D4D44" w:rsidRDefault="007D4D44" w:rsidP="002B4892">
      <w:pPr>
        <w:spacing w:after="0"/>
        <w:rPr>
          <w:rFonts w:ascii="Times New Roman" w:hAnsi="Times New Roman" w:cs="Times New Roman"/>
          <w:b/>
        </w:rPr>
      </w:pPr>
    </w:p>
    <w:p w:rsidR="00381EBF" w:rsidRDefault="00381EBF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236A0A" w:rsidRDefault="00236A0A" w:rsidP="002B4892">
      <w:pPr>
        <w:spacing w:after="0"/>
        <w:rPr>
          <w:rFonts w:ascii="Times New Roman" w:hAnsi="Times New Roman" w:cs="Times New Roman"/>
          <w:b/>
        </w:rPr>
      </w:pPr>
    </w:p>
    <w:p w:rsidR="00381EBF" w:rsidRPr="00476C1B" w:rsidRDefault="005D3BCA" w:rsidP="005D3BC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76C1B">
        <w:rPr>
          <w:rFonts w:ascii="Times New Roman" w:hAnsi="Times New Roman" w:cs="Times New Roman"/>
          <w:b/>
          <w:sz w:val="28"/>
        </w:rPr>
        <w:lastRenderedPageBreak/>
        <w:t>Anexos</w:t>
      </w:r>
    </w:p>
    <w:p w:rsidR="002B4892" w:rsidRDefault="002B4892" w:rsidP="00476C1B">
      <w:pPr>
        <w:spacing w:after="0"/>
        <w:rPr>
          <w:rFonts w:ascii="Times New Roman" w:hAnsi="Times New Roman" w:cs="Times New Roman"/>
          <w:b/>
          <w:sz w:val="24"/>
        </w:rPr>
      </w:pPr>
      <w:r w:rsidRPr="00712508">
        <w:rPr>
          <w:rFonts w:ascii="Times New Roman" w:hAnsi="Times New Roman" w:cs="Times New Roman"/>
          <w:b/>
          <w:sz w:val="24"/>
        </w:rPr>
        <w:t xml:space="preserve">Indicadores </w:t>
      </w:r>
      <w:r>
        <w:rPr>
          <w:rFonts w:ascii="Times New Roman" w:hAnsi="Times New Roman" w:cs="Times New Roman"/>
          <w:b/>
          <w:sz w:val="24"/>
        </w:rPr>
        <w:t>Capacida</w:t>
      </w:r>
      <w:r w:rsidR="007D3E86">
        <w:rPr>
          <w:rFonts w:ascii="Times New Roman" w:hAnsi="Times New Roman" w:cs="Times New Roman"/>
          <w:b/>
          <w:sz w:val="24"/>
        </w:rPr>
        <w:t>d Financiera Muestra Aleatoria 29</w:t>
      </w:r>
      <w:r w:rsidRPr="00712508">
        <w:rPr>
          <w:rFonts w:ascii="Times New Roman" w:hAnsi="Times New Roman" w:cs="Times New Roman"/>
          <w:b/>
          <w:sz w:val="24"/>
        </w:rPr>
        <w:t xml:space="preserve"> Empresas</w:t>
      </w:r>
    </w:p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9"/>
        <w:gridCol w:w="829"/>
        <w:gridCol w:w="1301"/>
        <w:gridCol w:w="1085"/>
        <w:gridCol w:w="1126"/>
        <w:gridCol w:w="1126"/>
      </w:tblGrid>
      <w:tr w:rsidR="00CB09F9" w:rsidRPr="00416A45" w:rsidTr="00F33B6C">
        <w:trPr>
          <w:trHeight w:val="284"/>
        </w:trPr>
        <w:tc>
          <w:tcPr>
            <w:tcW w:w="3269" w:type="dxa"/>
            <w:shd w:val="clear" w:color="auto" w:fill="002060"/>
            <w:noWrap/>
            <w:vAlign w:val="center"/>
            <w:hideMark/>
          </w:tcPr>
          <w:p w:rsidR="00CB09F9" w:rsidRPr="00F33B6C" w:rsidRDefault="00CB09F9" w:rsidP="0051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CO"/>
              </w:rPr>
            </w:pPr>
            <w:r w:rsidRPr="00F33B6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20"/>
                <w:lang w:eastAsia="es-CO"/>
              </w:rPr>
              <w:t>Razón social</w:t>
            </w:r>
          </w:p>
        </w:tc>
        <w:tc>
          <w:tcPr>
            <w:tcW w:w="829" w:type="dxa"/>
            <w:shd w:val="clear" w:color="auto" w:fill="002060"/>
            <w:noWrap/>
            <w:vAlign w:val="center"/>
            <w:hideMark/>
          </w:tcPr>
          <w:p w:rsidR="00CB09F9" w:rsidRPr="00F33B6C" w:rsidRDefault="00CB09F9" w:rsidP="0051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20"/>
                <w:lang w:eastAsia="es-CO"/>
              </w:rPr>
            </w:pPr>
            <w:r w:rsidRPr="00F33B6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20"/>
                <w:lang w:eastAsia="es-CO"/>
              </w:rPr>
              <w:t>Índice de liquidez</w:t>
            </w:r>
          </w:p>
        </w:tc>
        <w:tc>
          <w:tcPr>
            <w:tcW w:w="1301" w:type="dxa"/>
            <w:shd w:val="clear" w:color="auto" w:fill="002060"/>
            <w:noWrap/>
            <w:vAlign w:val="center"/>
            <w:hideMark/>
          </w:tcPr>
          <w:p w:rsidR="00CB09F9" w:rsidRPr="00F33B6C" w:rsidRDefault="00CB09F9" w:rsidP="0051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20"/>
                <w:lang w:eastAsia="es-CO"/>
              </w:rPr>
            </w:pPr>
            <w:r w:rsidRPr="00F33B6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20"/>
                <w:lang w:eastAsia="es-CO"/>
              </w:rPr>
              <w:t>Índice de endeudamiento</w:t>
            </w:r>
          </w:p>
        </w:tc>
        <w:tc>
          <w:tcPr>
            <w:tcW w:w="1085" w:type="dxa"/>
            <w:shd w:val="clear" w:color="auto" w:fill="002060"/>
            <w:noWrap/>
            <w:vAlign w:val="center"/>
            <w:hideMark/>
          </w:tcPr>
          <w:p w:rsidR="00CB09F9" w:rsidRPr="00F33B6C" w:rsidRDefault="00CB09F9" w:rsidP="0051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20"/>
                <w:lang w:eastAsia="es-CO"/>
              </w:rPr>
            </w:pPr>
            <w:r w:rsidRPr="00F33B6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20"/>
                <w:lang w:eastAsia="es-CO"/>
              </w:rPr>
              <w:t>Razón de cobertura de intereses</w:t>
            </w:r>
          </w:p>
        </w:tc>
        <w:tc>
          <w:tcPr>
            <w:tcW w:w="1126" w:type="dxa"/>
            <w:shd w:val="clear" w:color="auto" w:fill="002060"/>
            <w:noWrap/>
            <w:vAlign w:val="center"/>
            <w:hideMark/>
          </w:tcPr>
          <w:p w:rsidR="00CB09F9" w:rsidRPr="00F33B6C" w:rsidRDefault="00CB09F9" w:rsidP="0051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20"/>
                <w:lang w:eastAsia="es-CO"/>
              </w:rPr>
            </w:pPr>
            <w:r w:rsidRPr="00F33B6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20"/>
                <w:lang w:eastAsia="es-CO"/>
              </w:rPr>
              <w:t>Rentabilidad patrimonio</w:t>
            </w:r>
          </w:p>
        </w:tc>
        <w:tc>
          <w:tcPr>
            <w:tcW w:w="1126" w:type="dxa"/>
            <w:shd w:val="clear" w:color="auto" w:fill="002060"/>
            <w:noWrap/>
            <w:vAlign w:val="center"/>
            <w:hideMark/>
          </w:tcPr>
          <w:p w:rsidR="00CB09F9" w:rsidRPr="00F33B6C" w:rsidRDefault="00CB09F9" w:rsidP="00514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20"/>
                <w:lang w:eastAsia="es-CO"/>
              </w:rPr>
            </w:pPr>
            <w:r w:rsidRPr="00F33B6C">
              <w:rPr>
                <w:rFonts w:ascii="Times New Roman" w:eastAsia="Times New Roman" w:hAnsi="Times New Roman" w:cs="Times New Roman"/>
                <w:color w:val="FFFFFF" w:themeColor="background1"/>
                <w:sz w:val="18"/>
                <w:szCs w:val="20"/>
                <w:lang w:eastAsia="es-CO"/>
              </w:rPr>
              <w:t>Rentabilidad del activo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AGENCIA CONTINENTAL DE IMPPORTACIONES S.A.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1,44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0,68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0,28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0,14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0,05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CIBERGENIUS SAS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1,13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0,79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0,86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0,28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0,06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COMSISER SAS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2,31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0,42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97,84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0,32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0,18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CONTROLES EMPRESARIALES LTDA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1,51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0,70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0,86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0,21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0,06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CUBIX COLOMBIA S.A.S.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0,54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1,71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0,63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-0,45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DATECSA SA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0,95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0,79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1,19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0,30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0,06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EMC INFORMATION SYSTEMS COLOMBIA LTDA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2,69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0,56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0,79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0,07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ENERGY SOLUTIONS INTERNATIONAL SAS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2,43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0,41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-7,90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-0,79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-0,46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FASTEC DE COLOMBIA S.A.S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1,03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0,87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GAMELOFT SUCURSAL COLOMBIA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6,55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1536,95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1,40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1,12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BD21C5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  <w:lang w:val="en-US"/>
              </w:rPr>
            </w:pPr>
            <w:r w:rsidRPr="00BD21C5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GLOBAL TECHNOLOGY SERVICES GTS S.A.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1,52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0,65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10,77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0,19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0,07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HERRAMIENTAS ADMINISTRATIVAS SISTEMATIZADAS LTDA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2,35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0,29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4,43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0,14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0,10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IMPACT LASER IMPACT SAS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1,07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0,92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-2,05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-2,42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-0,19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IMPRESISTEM S.A.S.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1,17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0,85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0,28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0,04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INTERNATIONAL TECNOLOGY SYSTEMS SAS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1,30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0,41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3,27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0,16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0,10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 xml:space="preserve">LATIN PARTS COLOMBIA SAS 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1,11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0,78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0,70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0,51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0,11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LEXCO S.A.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1,61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0,43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3,04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0,17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0,10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MICROHARD SAS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2,11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0,62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2,05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0,45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0,17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MULTIMEDIA SOFTWARE SAS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6,24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0,20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5,33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0,11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0,09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NEX COMPUTER SA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2,14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0,78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4,03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0,27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0,06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NEXSYS DE COLOMBIA S.A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1,46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0,73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26,45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0,58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0,16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OPERACION DE TRANSITO DE MONTERIA COMPAÑIA LIMITADA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3,34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0,26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-0,39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-0,29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PCT LTDA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4,78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0,10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10,19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0,12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0,10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SED INTERNATIONAL DE COLOMBIA SAS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1,23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0,79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5,62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0,27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0,06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SITEC SUMINISTROS S.A.S.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1,79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1,35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9,13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-2,23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0,79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SOLUCION TOTAL EN COMPUTADORES SAS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5,80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0,13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0,08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0,07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TECNOPROCESOS SAS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3,07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0,48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5,98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0,25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0,13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 xml:space="preserve">TIENDA REGISTRADA S. A. S. 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1,85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0,46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-2,51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-0,20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-0,11</w:t>
            </w:r>
          </w:p>
        </w:tc>
      </w:tr>
      <w:tr w:rsidR="007D3E86" w:rsidRPr="00416A45" w:rsidTr="00055CAE">
        <w:trPr>
          <w:trHeight w:val="284"/>
        </w:trPr>
        <w:tc>
          <w:tcPr>
            <w:tcW w:w="3269" w:type="dxa"/>
            <w:shd w:val="clear" w:color="auto" w:fill="auto"/>
            <w:noWrap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XOREX DE COLOMBIA SAS</w:t>
            </w:r>
          </w:p>
        </w:tc>
        <w:tc>
          <w:tcPr>
            <w:tcW w:w="829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3,31</w:t>
            </w:r>
          </w:p>
        </w:tc>
        <w:tc>
          <w:tcPr>
            <w:tcW w:w="1301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0,42</w:t>
            </w:r>
          </w:p>
        </w:tc>
        <w:tc>
          <w:tcPr>
            <w:tcW w:w="1085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1,50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0,12</w:t>
            </w:r>
          </w:p>
        </w:tc>
        <w:tc>
          <w:tcPr>
            <w:tcW w:w="1126" w:type="dxa"/>
            <w:shd w:val="clear" w:color="auto" w:fill="auto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sz w:val="16"/>
                <w:szCs w:val="18"/>
              </w:rPr>
              <w:t>0,07</w:t>
            </w:r>
          </w:p>
        </w:tc>
      </w:tr>
      <w:tr w:rsidR="007D3E86" w:rsidRPr="00416A45" w:rsidTr="00236A0A">
        <w:trPr>
          <w:trHeight w:val="284"/>
        </w:trPr>
        <w:tc>
          <w:tcPr>
            <w:tcW w:w="3269" w:type="dxa"/>
            <w:shd w:val="clear" w:color="auto" w:fill="D9E2F3" w:themeFill="accent5" w:themeFillTint="33"/>
            <w:noWrap/>
            <w:vAlign w:val="bottom"/>
          </w:tcPr>
          <w:p w:rsidR="007D3E86" w:rsidRPr="00236A0A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36A0A">
              <w:rPr>
                <w:rFonts w:ascii="Times New Roman" w:hAnsi="Times New Roman" w:cs="Times New Roman"/>
                <w:sz w:val="16"/>
                <w:szCs w:val="18"/>
              </w:rPr>
              <w:t>CUARTIL INF</w:t>
            </w:r>
          </w:p>
        </w:tc>
        <w:tc>
          <w:tcPr>
            <w:tcW w:w="829" w:type="dxa"/>
            <w:shd w:val="clear" w:color="auto" w:fill="D9E2F3" w:themeFill="accent5" w:themeFillTint="33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b/>
                <w:sz w:val="16"/>
                <w:szCs w:val="18"/>
              </w:rPr>
              <w:t>1,23</w:t>
            </w:r>
          </w:p>
        </w:tc>
        <w:tc>
          <w:tcPr>
            <w:tcW w:w="1301" w:type="dxa"/>
            <w:shd w:val="clear" w:color="auto" w:fill="D9E2F3" w:themeFill="accent5" w:themeFillTint="33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b/>
                <w:sz w:val="16"/>
                <w:szCs w:val="18"/>
              </w:rPr>
              <w:t>0,79</w:t>
            </w:r>
          </w:p>
        </w:tc>
        <w:tc>
          <w:tcPr>
            <w:tcW w:w="1085" w:type="dxa"/>
            <w:shd w:val="clear" w:color="auto" w:fill="D9E2F3" w:themeFill="accent5" w:themeFillTint="33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126" w:type="dxa"/>
            <w:shd w:val="clear" w:color="auto" w:fill="D9E2F3" w:themeFill="accent5" w:themeFillTint="33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b/>
                <w:sz w:val="16"/>
                <w:szCs w:val="18"/>
              </w:rPr>
              <w:t>0,11</w:t>
            </w:r>
          </w:p>
        </w:tc>
        <w:tc>
          <w:tcPr>
            <w:tcW w:w="1126" w:type="dxa"/>
            <w:shd w:val="clear" w:color="auto" w:fill="D9E2F3" w:themeFill="accent5" w:themeFillTint="33"/>
            <w:noWrap/>
            <w:vAlign w:val="bottom"/>
          </w:tcPr>
          <w:p w:rsidR="007D3E86" w:rsidRPr="007D3E86" w:rsidRDefault="007D3E86" w:rsidP="007D3E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D3E86">
              <w:rPr>
                <w:rFonts w:ascii="Times New Roman" w:hAnsi="Times New Roman" w:cs="Times New Roman"/>
                <w:b/>
                <w:sz w:val="16"/>
                <w:szCs w:val="18"/>
              </w:rPr>
              <w:t>0,05</w:t>
            </w:r>
          </w:p>
        </w:tc>
      </w:tr>
    </w:tbl>
    <w:p w:rsidR="00CB09F9" w:rsidRDefault="002B4892" w:rsidP="00326F26">
      <w:pPr>
        <w:jc w:val="both"/>
      </w:pPr>
      <w:r>
        <w:rPr>
          <w:rFonts w:ascii="Times New Roman" w:hAnsi="Times New Roman" w:cs="Times New Roman"/>
        </w:rPr>
        <w:t>Fuente: SuperSociedades</w:t>
      </w:r>
    </w:p>
    <w:p w:rsidR="00D14E26" w:rsidRPr="00A95B43" w:rsidRDefault="005D3BCA" w:rsidP="00A95B43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Según la información </w:t>
      </w:r>
      <w:r w:rsidRPr="00051ACA">
        <w:rPr>
          <w:rFonts w:ascii="Times New Roman" w:hAnsi="Times New Roman" w:cs="Times New Roman"/>
          <w:sz w:val="24"/>
          <w:szCs w:val="24"/>
        </w:rPr>
        <w:t>obtenid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51ACA">
        <w:rPr>
          <w:rFonts w:ascii="Times New Roman" w:hAnsi="Times New Roman" w:cs="Times New Roman"/>
          <w:sz w:val="24"/>
          <w:szCs w:val="24"/>
        </w:rPr>
        <w:t xml:space="preserve"> de la muestra aleatoria de empresas, se tiene que </w:t>
      </w:r>
      <w:r>
        <w:rPr>
          <w:rFonts w:ascii="Times New Roman" w:hAnsi="Times New Roman" w:cs="Times New Roman"/>
          <w:sz w:val="24"/>
          <w:szCs w:val="24"/>
        </w:rPr>
        <w:t>los indicadores</w:t>
      </w:r>
      <w:r w:rsidRPr="00051ACA">
        <w:rPr>
          <w:rFonts w:ascii="Times New Roman" w:hAnsi="Times New Roman" w:cs="Times New Roman"/>
          <w:sz w:val="24"/>
          <w:szCs w:val="24"/>
        </w:rPr>
        <w:t xml:space="preserve"> muestra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51ACA">
        <w:rPr>
          <w:rFonts w:ascii="Times New Roman" w:hAnsi="Times New Roman" w:cs="Times New Roman"/>
          <w:sz w:val="24"/>
          <w:szCs w:val="24"/>
        </w:rPr>
        <w:t xml:space="preserve"> alta dispersión en los datos, por tal motivo se hace necesario realizar </w:t>
      </w:r>
      <w:r w:rsidR="00236A0A">
        <w:rPr>
          <w:rFonts w:ascii="Times New Roman" w:hAnsi="Times New Roman" w:cs="Times New Roman"/>
          <w:sz w:val="24"/>
          <w:szCs w:val="24"/>
        </w:rPr>
        <w:t xml:space="preserve">una poda del </w:t>
      </w:r>
      <w:r w:rsidRPr="00051ACA">
        <w:rPr>
          <w:rFonts w:ascii="Times New Roman" w:hAnsi="Times New Roman" w:cs="Times New Roman"/>
          <w:sz w:val="24"/>
          <w:szCs w:val="24"/>
        </w:rPr>
        <w:t>5% de la muestra, para evitar datos atípicos que sesguen el estableci</w:t>
      </w:r>
      <w:r>
        <w:rPr>
          <w:rFonts w:ascii="Times New Roman" w:hAnsi="Times New Roman" w:cs="Times New Roman"/>
          <w:sz w:val="24"/>
          <w:szCs w:val="24"/>
        </w:rPr>
        <w:t xml:space="preserve">miento del indicador adecuado. </w:t>
      </w:r>
    </w:p>
    <w:sectPr w:rsidR="00D14E26" w:rsidRPr="00A95B43" w:rsidSect="008C22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6D" w:rsidRDefault="00A8076D" w:rsidP="007D4D44">
      <w:pPr>
        <w:spacing w:after="0" w:line="240" w:lineRule="auto"/>
      </w:pPr>
      <w:r>
        <w:separator/>
      </w:r>
    </w:p>
  </w:endnote>
  <w:endnote w:type="continuationSeparator" w:id="0">
    <w:p w:rsidR="00A8076D" w:rsidRDefault="00A8076D" w:rsidP="007D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6D" w:rsidRDefault="00A8076D" w:rsidP="007D4D44">
      <w:pPr>
        <w:spacing w:after="0" w:line="240" w:lineRule="auto"/>
      </w:pPr>
      <w:r>
        <w:separator/>
      </w:r>
    </w:p>
  </w:footnote>
  <w:footnote w:type="continuationSeparator" w:id="0">
    <w:p w:rsidR="00A8076D" w:rsidRDefault="00A8076D" w:rsidP="007D4D44">
      <w:pPr>
        <w:spacing w:after="0" w:line="240" w:lineRule="auto"/>
      </w:pPr>
      <w:r>
        <w:continuationSeparator/>
      </w:r>
    </w:p>
  </w:footnote>
  <w:footnote w:id="1">
    <w:p w:rsidR="00514C14" w:rsidRDefault="00514C14" w:rsidP="007D4D44">
      <w:pPr>
        <w:pStyle w:val="Textonotapie"/>
      </w:pPr>
      <w:r>
        <w:rPr>
          <w:rStyle w:val="Refdenotaalpie"/>
        </w:rPr>
        <w:footnoteRef/>
      </w:r>
      <w:r>
        <w:t xml:space="preserve"> CLASIFICACIÓN INDUSTRIAL INTERNACIONAL UNIFORME DE TODAS LAS ACTIVIDADES ECONÓMICAS. Revisión 4 adaptada para Colombia CIIU Rev. 4 A.C.</w:t>
      </w:r>
    </w:p>
  </w:footnote>
  <w:footnote w:id="2">
    <w:p w:rsidR="00514C14" w:rsidRDefault="00514C14">
      <w:pPr>
        <w:pStyle w:val="Textonotapie"/>
      </w:pPr>
      <w:r>
        <w:rPr>
          <w:rStyle w:val="Refdenotaalpie"/>
        </w:rPr>
        <w:footnoteRef/>
      </w:r>
      <w:r>
        <w:rPr>
          <w:noProof/>
          <w:lang w:eastAsia="es-CO"/>
        </w:rPr>
        <w:drawing>
          <wp:inline distT="0" distB="0" distL="0" distR="0">
            <wp:extent cx="1583182" cy="4381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609940" cy="44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Fórmula para calcular muestra</w:t>
      </w:r>
    </w:p>
  </w:footnote>
  <w:footnote w:id="3">
    <w:p w:rsidR="00514C14" w:rsidRDefault="00514C14" w:rsidP="00381EBF">
      <w:pPr>
        <w:pStyle w:val="Textonotapie"/>
      </w:pPr>
      <w:r>
        <w:rPr>
          <w:rStyle w:val="Refdenotaalpie"/>
        </w:rPr>
        <w:footnoteRef/>
      </w:r>
      <w:r>
        <w:t xml:space="preserve"> Colombia Compra Eficiente, </w:t>
      </w:r>
      <w:r w:rsidRPr="00890285">
        <w:t>Manual para determinar y verificar los requisitos habilitantes en los Procesos de Contratación</w:t>
      </w:r>
      <w:r>
        <w:t xml:space="preserve"> (</w:t>
      </w:r>
      <w:r w:rsidRPr="00890285">
        <w:t>M-DVRHPC-04</w:t>
      </w:r>
      <w:r>
        <w:t xml:space="preserve">) Nueva guía para elaboración análisis del sector 2017.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4A8"/>
    <w:multiLevelType w:val="hybridMultilevel"/>
    <w:tmpl w:val="187EFE3C"/>
    <w:lvl w:ilvl="0" w:tplc="32A8BA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47A36"/>
    <w:multiLevelType w:val="hybridMultilevel"/>
    <w:tmpl w:val="7B0E67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31264"/>
    <w:multiLevelType w:val="hybridMultilevel"/>
    <w:tmpl w:val="89621B3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36"/>
    <w:rsid w:val="00051ACA"/>
    <w:rsid w:val="00095436"/>
    <w:rsid w:val="001B1038"/>
    <w:rsid w:val="00236A0A"/>
    <w:rsid w:val="002718BC"/>
    <w:rsid w:val="00275602"/>
    <w:rsid w:val="002B4892"/>
    <w:rsid w:val="00326F26"/>
    <w:rsid w:val="00381EBF"/>
    <w:rsid w:val="003F4839"/>
    <w:rsid w:val="00476C1B"/>
    <w:rsid w:val="00514C14"/>
    <w:rsid w:val="005B14F3"/>
    <w:rsid w:val="005D3BCA"/>
    <w:rsid w:val="005F04FC"/>
    <w:rsid w:val="00784397"/>
    <w:rsid w:val="007D3E86"/>
    <w:rsid w:val="007D4D44"/>
    <w:rsid w:val="00830BFB"/>
    <w:rsid w:val="00883F42"/>
    <w:rsid w:val="008C2297"/>
    <w:rsid w:val="008F3D1E"/>
    <w:rsid w:val="009126AA"/>
    <w:rsid w:val="00995234"/>
    <w:rsid w:val="009A0A51"/>
    <w:rsid w:val="00A26F41"/>
    <w:rsid w:val="00A8076D"/>
    <w:rsid w:val="00A95B43"/>
    <w:rsid w:val="00B74719"/>
    <w:rsid w:val="00B7535E"/>
    <w:rsid w:val="00BD21C5"/>
    <w:rsid w:val="00BE793E"/>
    <w:rsid w:val="00C40E06"/>
    <w:rsid w:val="00CB09F9"/>
    <w:rsid w:val="00CE2E93"/>
    <w:rsid w:val="00D14E26"/>
    <w:rsid w:val="00D707F9"/>
    <w:rsid w:val="00EA59FE"/>
    <w:rsid w:val="00EC0E4C"/>
    <w:rsid w:val="00EF7B6E"/>
    <w:rsid w:val="00F16E31"/>
    <w:rsid w:val="00F32CCD"/>
    <w:rsid w:val="00F33B6C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BEB2D-38CB-4D96-B32A-912A3E7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F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D4D4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4D4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4D4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BC68-3F81-40F8-9222-B6859DF1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Ospina</dc:creator>
  <cp:keywords/>
  <dc:description/>
  <cp:lastModifiedBy>Hewlett-Packard Company</cp:lastModifiedBy>
  <cp:revision>2</cp:revision>
  <dcterms:created xsi:type="dcterms:W3CDTF">2017-11-03T12:51:00Z</dcterms:created>
  <dcterms:modified xsi:type="dcterms:W3CDTF">2017-11-03T12:51:00Z</dcterms:modified>
</cp:coreProperties>
</file>