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DE9" w:rsidRDefault="00601DE9">
      <w:pPr>
        <w:rPr>
          <w:rFonts w:ascii="Arial" w:hAnsi="Arial" w:cs="Arial"/>
        </w:rPr>
      </w:pPr>
      <w:bookmarkStart w:id="0" w:name="_GoBack"/>
      <w:bookmarkEnd w:id="0"/>
    </w:p>
    <w:p w:rsidR="00601DE9" w:rsidRPr="00601DE9" w:rsidRDefault="00601DE9" w:rsidP="00601DE9">
      <w:pPr>
        <w:rPr>
          <w:rFonts w:ascii="Arial" w:hAnsi="Arial" w:cs="Arial"/>
        </w:rPr>
      </w:pPr>
    </w:p>
    <w:p w:rsidR="00601DE9" w:rsidRPr="00601DE9" w:rsidRDefault="00601DE9" w:rsidP="00601DE9">
      <w:pPr>
        <w:rPr>
          <w:rFonts w:ascii="Arial" w:hAnsi="Arial" w:cs="Arial"/>
        </w:rPr>
      </w:pPr>
    </w:p>
    <w:p w:rsidR="00404F8E" w:rsidRPr="00404F8E" w:rsidRDefault="00404F8E" w:rsidP="00404F8E">
      <w:pPr>
        <w:jc w:val="center"/>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F8E">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OBLIGATORIO DE GARANTIA DE CALIDAD</w:t>
      </w:r>
    </w:p>
    <w:p w:rsidR="00404F8E" w:rsidRPr="00404F8E" w:rsidRDefault="00404F8E" w:rsidP="00404F8E">
      <w:pPr>
        <w:jc w:val="center"/>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hAnsi="Arial" w:cs="Arial"/>
          <w:lang w:val="es-ES"/>
        </w:rPr>
      </w:pPr>
      <w:r w:rsidRPr="00404F8E">
        <w:rPr>
          <w:rFonts w:ascii="Arial" w:hAnsi="Arial" w:cs="Arial"/>
          <w:lang w:val="es-ES"/>
        </w:rPr>
        <w:t>Es el conjunto de instituciones, normas, requisitos, mecanismos y procesos, deliberados y sistemáticos, que desarrolla el sector salud para generar, mantener y mejorar la calidad de los servicios de salud en el país</w:t>
      </w:r>
    </w:p>
    <w:p w:rsidR="00404F8E" w:rsidRPr="00404F8E" w:rsidRDefault="00404F8E" w:rsidP="00404F8E">
      <w:pPr>
        <w:jc w:val="both"/>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center"/>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C667E94" wp14:editId="0312FB3D">
            <wp:extent cx="4914900" cy="2739725"/>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462" t="28678" r="33301" b="21513"/>
                    <a:stretch/>
                  </pic:blipFill>
                  <pic:spPr bwMode="auto">
                    <a:xfrm>
                      <a:off x="0" y="0"/>
                      <a:ext cx="4937980" cy="2752590"/>
                    </a:xfrm>
                    <a:prstGeom prst="rect">
                      <a:avLst/>
                    </a:prstGeom>
                    <a:ln>
                      <a:noFill/>
                    </a:ln>
                    <a:extLst>
                      <a:ext uri="{53640926-AAD7-44D8-BBD7-CCE9431645EC}">
                        <a14:shadowObscured xmlns:a14="http://schemas.microsoft.com/office/drawing/2010/main"/>
                      </a:ext>
                    </a:extLst>
                  </pic:spPr>
                </pic:pic>
              </a:graphicData>
            </a:graphic>
          </wp:inline>
        </w:drawing>
      </w:r>
    </w:p>
    <w:p w:rsidR="00404F8E" w:rsidRDefault="00404F8E" w:rsidP="00404F8E">
      <w:pPr>
        <w:jc w:val="both"/>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Pr="00404F8E" w:rsidRDefault="00404F8E" w:rsidP="00404F8E">
      <w:pPr>
        <w:jc w:val="both"/>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F8E">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Cuenta con dos sistemas los cuales son:</w:t>
      </w:r>
    </w:p>
    <w:p w:rsidR="00404F8E" w:rsidRDefault="00404F8E" w:rsidP="00404F8E">
      <w:pPr>
        <w:pStyle w:val="Prrafodelista"/>
        <w:numPr>
          <w:ilvl w:val="0"/>
          <w:numId w:val="1"/>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Sistema de habilitación: </w:t>
      </w: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programa que permite hacer </w:t>
      </w: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mejoramiento continuo</w:t>
      </w: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sistemas de información</w:t>
      </w:r>
    </w:p>
    <w:p w:rsidR="00404F8E" w:rsidRDefault="00404F8E" w:rsidP="00404F8E">
      <w:pPr>
        <w:pStyle w:val="Prrafodelista"/>
        <w:numPr>
          <w:ilvl w:val="0"/>
          <w:numId w:val="1"/>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de acreditación:</w:t>
      </w: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1DFF">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 los estándares superiores</w:t>
      </w:r>
    </w:p>
    <w:p w:rsidR="00404F8E" w:rsidRPr="00404F8E" w:rsidRDefault="00404F8E" w:rsidP="00404F8E">
      <w:pPr>
        <w:jc w:val="both"/>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Pr="00404F8E" w:rsidRDefault="00404F8E" w:rsidP="00404F8E">
      <w:pPr>
        <w:jc w:val="both"/>
        <w:rPr>
          <w:rFonts w:ascii="Arial" w:hAnsi="Arial" w:cs="Arial"/>
          <w:lang w:val="es-ES"/>
        </w:rPr>
      </w:pPr>
      <w:r w:rsidRPr="00404F8E">
        <w:rPr>
          <w:rFonts w:ascii="Arial" w:hAnsi="Arial" w:cs="Arial"/>
          <w:lang w:val="es-ES"/>
        </w:rPr>
        <w:t>En el mismo Decreto en mención, se definen como componentes del SOGC para los Prestadores de Servicios de Salud y Entidades Administradoras, los siguientes:</w:t>
      </w:r>
    </w:p>
    <w:p w:rsidR="00404F8E" w:rsidRPr="00404F8E" w:rsidRDefault="00404F8E" w:rsidP="00404F8E">
      <w:pPr>
        <w:jc w:val="both"/>
        <w:rPr>
          <w:rFonts w:ascii="Arial" w:hAnsi="Arial" w:cs="Arial"/>
          <w:lang w:val="es-ES"/>
        </w:rPr>
      </w:pPr>
      <w:r w:rsidRPr="00404F8E">
        <w:rPr>
          <w:rFonts w:ascii="Arial" w:hAnsi="Arial" w:cs="Arial"/>
          <w:b/>
          <w:lang w:val="es-ES"/>
        </w:rPr>
        <w:t>La habilitación</w:t>
      </w:r>
      <w:r w:rsidRPr="00404F8E">
        <w:rPr>
          <w:rFonts w:ascii="Arial" w:hAnsi="Arial" w:cs="Arial"/>
          <w:lang w:val="es-ES"/>
        </w:rPr>
        <w:t xml:space="preserve">: consiste en una evaluación externa, de carácter gubernamental y obligatoria, orientada a garantizar unas condiciones mínimas de seguridad, de manejo del riesgo y de dignidad para los usuarios, sin las cuales no se pueden ofrecer ni contratar servicios de salud, cuya vigilancia es de la competencia del Estado, específicamente de las Direcciones Territoriales de Salud. </w:t>
      </w:r>
    </w:p>
    <w:p w:rsidR="00404F8E" w:rsidRDefault="00404F8E" w:rsidP="00404F8E">
      <w:pPr>
        <w:jc w:val="both"/>
        <w:rPr>
          <w:rFonts w:ascii="Arial" w:hAnsi="Arial" w:cs="Arial"/>
          <w:lang w:val="es-ES"/>
        </w:rPr>
      </w:pPr>
      <w:r w:rsidRPr="00404F8E">
        <w:rPr>
          <w:rFonts w:ascii="Arial" w:hAnsi="Arial" w:cs="Arial"/>
          <w:b/>
          <w:lang w:val="es-ES"/>
        </w:rPr>
        <w:t>La auditoría:</w:t>
      </w:r>
      <w:r w:rsidRPr="00404F8E">
        <w:rPr>
          <w:rFonts w:ascii="Arial" w:hAnsi="Arial" w:cs="Arial"/>
          <w:lang w:val="es-ES"/>
        </w:rPr>
        <w:t xml:space="preserve"> identificada como una herramienta básica de evaluación interna, continua y sistemática del cumplimiento de estándares de calidad complementarios a los que se determinan como básicos en el Sistema Único de Habilitación. Los procesos de auditoría son obligatorios para las direcciones departamentales, distritales y municipales de salud, cuando actúan como aseguradoras, las </w:t>
      </w:r>
    </w:p>
    <w:p w:rsidR="00404F8E" w:rsidRDefault="00404F8E" w:rsidP="00404F8E">
      <w:pPr>
        <w:jc w:val="both"/>
        <w:rPr>
          <w:rFonts w:ascii="Arial" w:hAnsi="Arial" w:cs="Arial"/>
          <w:lang w:val="es-ES"/>
        </w:rPr>
      </w:pPr>
    </w:p>
    <w:p w:rsidR="00404F8E" w:rsidRDefault="00404F8E" w:rsidP="00404F8E">
      <w:pPr>
        <w:jc w:val="both"/>
        <w:rPr>
          <w:rFonts w:ascii="Arial" w:hAnsi="Arial" w:cs="Arial"/>
          <w:lang w:val="es-ES"/>
        </w:rPr>
      </w:pPr>
    </w:p>
    <w:p w:rsidR="00404F8E" w:rsidRPr="00404F8E" w:rsidRDefault="00404F8E" w:rsidP="00404F8E">
      <w:pPr>
        <w:jc w:val="both"/>
        <w:rPr>
          <w:rFonts w:ascii="Arial" w:hAnsi="Arial" w:cs="Arial"/>
          <w:lang w:val="es-ES"/>
        </w:rPr>
      </w:pPr>
      <w:r w:rsidRPr="00404F8E">
        <w:rPr>
          <w:rFonts w:ascii="Arial" w:hAnsi="Arial" w:cs="Arial"/>
          <w:lang w:val="es-ES"/>
        </w:rPr>
        <w:t xml:space="preserve">instituciones prestadoras de servicios de salud, las entidades promotoras de salud del régimen contributivo y subsidiado, las entidades adaptadas y las empresas de medicina </w:t>
      </w:r>
      <w:proofErr w:type="spellStart"/>
      <w:r w:rsidRPr="00404F8E">
        <w:rPr>
          <w:rFonts w:ascii="Arial" w:hAnsi="Arial" w:cs="Arial"/>
          <w:lang w:val="es-ES"/>
        </w:rPr>
        <w:t>prepagada</w:t>
      </w:r>
      <w:proofErr w:type="spellEnd"/>
      <w:r w:rsidRPr="00404F8E">
        <w:rPr>
          <w:rFonts w:ascii="Arial" w:hAnsi="Arial" w:cs="Arial"/>
          <w:lang w:val="es-ES"/>
        </w:rPr>
        <w:t xml:space="preserve">. </w:t>
      </w:r>
    </w:p>
    <w:p w:rsidR="00404F8E" w:rsidRPr="00404F8E" w:rsidRDefault="00404F8E" w:rsidP="00404F8E">
      <w:pPr>
        <w:jc w:val="both"/>
        <w:rPr>
          <w:rFonts w:ascii="Arial" w:hAnsi="Arial" w:cs="Arial"/>
          <w:lang w:val="es-ES"/>
        </w:rPr>
      </w:pPr>
      <w:r w:rsidRPr="00404F8E">
        <w:rPr>
          <w:rFonts w:ascii="Arial" w:hAnsi="Arial" w:cs="Arial"/>
          <w:b/>
          <w:lang w:val="es-ES"/>
        </w:rPr>
        <w:t>La acreditación:</w:t>
      </w:r>
      <w:r w:rsidRPr="00404F8E">
        <w:rPr>
          <w:rFonts w:ascii="Arial" w:hAnsi="Arial" w:cs="Arial"/>
          <w:lang w:val="es-ES"/>
        </w:rPr>
        <w:t xml:space="preserve"> conjunto de entidades, estándares, actividades de apoyo y procedimientos de autoevaluación, mejoramiento y evaluación externa, destinados a demostrar, evaluar y comprobar el cumplimiento de niveles superiores de calidad por parte de las entidades que voluntariamente decidan acogerse a este proceso. </w:t>
      </w:r>
    </w:p>
    <w:p w:rsidR="00404F8E" w:rsidRPr="00404F8E" w:rsidRDefault="00404F8E" w:rsidP="00404F8E">
      <w:pPr>
        <w:jc w:val="both"/>
        <w:rPr>
          <w:rFonts w:ascii="Arial" w:hAnsi="Arial" w:cs="Arial"/>
          <w:lang w:val="es-ES"/>
        </w:rPr>
      </w:pPr>
    </w:p>
    <w:p w:rsidR="00404F8E" w:rsidRPr="00404F8E" w:rsidRDefault="00404F8E" w:rsidP="00404F8E">
      <w:pPr>
        <w:jc w:val="both"/>
        <w:rPr>
          <w:rFonts w:ascii="Arial" w:hAnsi="Arial" w:cs="Arial"/>
          <w:lang w:val="es-ES"/>
        </w:rPr>
      </w:pPr>
      <w:r w:rsidRPr="00404F8E">
        <w:rPr>
          <w:rFonts w:ascii="Arial" w:hAnsi="Arial" w:cs="Arial"/>
          <w:lang w:val="es-ES"/>
        </w:rPr>
        <w:t>En año</w:t>
      </w:r>
      <w:r w:rsidRPr="00404F8E">
        <w:rPr>
          <w:rFonts w:ascii="Arial" w:hAnsi="Arial" w:cs="Arial"/>
          <w:b/>
          <w:lang w:val="es-ES"/>
        </w:rPr>
        <w:t xml:space="preserve"> 2006</w:t>
      </w:r>
      <w:r w:rsidRPr="00404F8E">
        <w:rPr>
          <w:rFonts w:ascii="Arial" w:hAnsi="Arial" w:cs="Arial"/>
          <w:lang w:val="es-ES"/>
        </w:rPr>
        <w:t xml:space="preserve"> se genera el Sistema Único de Habilitación donde se solicita los requisitos técnicos, financieros, de recurso humano entre otros. Cuenta con un programa de mejoramiento de la calidad</w:t>
      </w:r>
    </w:p>
    <w:p w:rsidR="00404F8E" w:rsidRPr="00404F8E" w:rsidRDefault="00404F8E" w:rsidP="00404F8E">
      <w:pPr>
        <w:jc w:val="both"/>
        <w:rPr>
          <w:rFonts w:ascii="Arial" w:hAnsi="Arial" w:cs="Arial"/>
          <w:lang w:val="es-ES"/>
        </w:rPr>
      </w:pPr>
    </w:p>
    <w:p w:rsidR="00404F8E" w:rsidRPr="00404F8E" w:rsidRDefault="00404F8E" w:rsidP="00404F8E">
      <w:pPr>
        <w:jc w:val="both"/>
        <w:rPr>
          <w:rFonts w:ascii="Arial" w:hAnsi="Arial" w:cs="Arial"/>
          <w:lang w:val="es-ES"/>
        </w:rPr>
      </w:pPr>
      <w:r w:rsidRPr="00404F8E">
        <w:rPr>
          <w:rFonts w:ascii="Arial" w:hAnsi="Arial" w:cs="Arial"/>
          <w:lang w:val="es-ES"/>
        </w:rPr>
        <w:t>Sistema de acreditación los cuales son los requisitos avanzados.</w:t>
      </w:r>
    </w:p>
    <w:p w:rsidR="00404F8E" w:rsidRPr="00404F8E" w:rsidRDefault="00404F8E" w:rsidP="00404F8E">
      <w:pPr>
        <w:jc w:val="both"/>
        <w:rPr>
          <w:rFonts w:ascii="Arial" w:hAnsi="Arial" w:cs="Arial"/>
          <w:lang w:val="es-ES"/>
        </w:rPr>
      </w:pPr>
    </w:p>
    <w:p w:rsidR="00404F8E" w:rsidRPr="00404F8E" w:rsidRDefault="00404F8E" w:rsidP="00404F8E">
      <w:pPr>
        <w:jc w:val="both"/>
        <w:rPr>
          <w:rFonts w:ascii="Arial" w:hAnsi="Arial" w:cs="Arial"/>
          <w:lang w:val="es-ES"/>
        </w:rPr>
      </w:pPr>
      <w:r w:rsidRPr="00404F8E">
        <w:rPr>
          <w:rFonts w:ascii="Arial" w:hAnsi="Arial" w:cs="Arial"/>
          <w:lang w:val="es-ES"/>
        </w:rPr>
        <w:t>Todos los que trabajamos en el sistema de salud se debe tener en cuenta la seguridad del paciente.</w:t>
      </w:r>
    </w:p>
    <w:p w:rsidR="00404F8E" w:rsidRPr="00404F8E" w:rsidRDefault="00404F8E" w:rsidP="00404F8E">
      <w:pPr>
        <w:jc w:val="both"/>
        <w:rPr>
          <w:rFonts w:ascii="Arial" w:hAnsi="Arial" w:cs="Arial"/>
          <w:lang w:val="es-ES"/>
        </w:rPr>
      </w:pPr>
    </w:p>
    <w:p w:rsidR="00404F8E" w:rsidRPr="00404F8E" w:rsidRDefault="00404F8E" w:rsidP="00404F8E">
      <w:pPr>
        <w:jc w:val="both"/>
        <w:rPr>
          <w:rFonts w:ascii="Arial" w:hAnsi="Arial" w:cs="Arial"/>
          <w:lang w:val="es-ES"/>
        </w:rPr>
      </w:pPr>
      <w:r w:rsidRPr="00404F8E">
        <w:rPr>
          <w:rFonts w:ascii="Arial" w:hAnsi="Arial" w:cs="Arial"/>
          <w:b/>
          <w:lang w:val="es-ES"/>
        </w:rPr>
        <w:t>Sistema Único de Habilitación:</w:t>
      </w:r>
      <w:r w:rsidRPr="00404F8E">
        <w:rPr>
          <w:rFonts w:ascii="Arial" w:hAnsi="Arial" w:cs="Arial"/>
          <w:lang w:val="es-ES"/>
        </w:rPr>
        <w:t xml:space="preserve">  se entiende como el conjunto de normas, requisitos y procedimientos mediante los cuales se establece, registra, verifica y controla el cumplimiento de las condiciones básicas de capacidad tecnológica y científica, de suficiencia patrimonial y financiera y de capacidad técnico-administrativa indispensables para la entrada y permanencia en el sistema. La habilitación busca dar seguridad a los usuarios frente a los potenciales riesgos asociados a la atención en salud. La habilitación es de carácter obligatorio para: </w:t>
      </w:r>
    </w:p>
    <w:p w:rsidR="00404F8E" w:rsidRPr="00404F8E" w:rsidRDefault="00404F8E" w:rsidP="00404F8E">
      <w:pPr>
        <w:jc w:val="both"/>
        <w:rPr>
          <w:rFonts w:ascii="Arial" w:hAnsi="Arial" w:cs="Arial"/>
          <w:lang w:val="es-ES"/>
        </w:rPr>
      </w:pPr>
      <w:r w:rsidRPr="00404F8E">
        <w:rPr>
          <w:rFonts w:ascii="Arial" w:hAnsi="Arial" w:cs="Arial"/>
          <w:lang w:val="es-ES"/>
        </w:rPr>
        <w:t xml:space="preserve">1. Prestadores de Servicios de Salud </w:t>
      </w:r>
    </w:p>
    <w:p w:rsidR="00404F8E" w:rsidRPr="00404F8E" w:rsidRDefault="00404F8E" w:rsidP="00404F8E">
      <w:pPr>
        <w:jc w:val="both"/>
        <w:rPr>
          <w:rFonts w:ascii="Arial" w:hAnsi="Arial" w:cs="Arial"/>
          <w:lang w:val="es-ES"/>
        </w:rPr>
      </w:pPr>
      <w:r w:rsidRPr="00404F8E">
        <w:rPr>
          <w:rFonts w:ascii="Arial" w:hAnsi="Arial" w:cs="Arial"/>
          <w:lang w:val="es-ES"/>
        </w:rPr>
        <w:t xml:space="preserve">2. Empresas Administradoras de Planes de Beneficios y </w:t>
      </w:r>
    </w:p>
    <w:p w:rsidR="00404F8E" w:rsidRPr="00404F8E" w:rsidRDefault="00404F8E" w:rsidP="00404F8E">
      <w:pPr>
        <w:jc w:val="both"/>
        <w:rPr>
          <w:rFonts w:ascii="Arial" w:hAnsi="Arial" w:cs="Arial"/>
          <w:lang w:val="es-ES"/>
        </w:rPr>
      </w:pPr>
      <w:r w:rsidRPr="00404F8E">
        <w:rPr>
          <w:rFonts w:ascii="Arial" w:hAnsi="Arial" w:cs="Arial"/>
          <w:lang w:val="es-ES"/>
        </w:rPr>
        <w:t>3. Las redes integradas de Servicios de Salud</w:t>
      </w:r>
    </w:p>
    <w:p w:rsidR="00404F8E" w:rsidRPr="00404F8E" w:rsidRDefault="00404F8E" w:rsidP="00404F8E">
      <w:pPr>
        <w:jc w:val="both"/>
        <w:rPr>
          <w:rFonts w:ascii="Arial" w:hAnsi="Arial" w:cs="Arial"/>
          <w:lang w:val="es-ES"/>
        </w:rPr>
      </w:pPr>
    </w:p>
    <w:p w:rsidR="00404F8E" w:rsidRPr="00404F8E" w:rsidRDefault="00404F8E" w:rsidP="00404F8E">
      <w:pPr>
        <w:jc w:val="both"/>
        <w:rPr>
          <w:rFonts w:ascii="Arial" w:hAnsi="Arial" w:cs="Arial"/>
          <w:lang w:val="es-ES"/>
        </w:rPr>
      </w:pPr>
      <w:r w:rsidRPr="00404F8E">
        <w:rPr>
          <w:rFonts w:ascii="Arial" w:hAnsi="Arial" w:cs="Arial"/>
          <w:b/>
          <w:lang w:val="es-ES"/>
        </w:rPr>
        <w:t xml:space="preserve">SISTEMA ÚNICO DE ACREDITACIÓN EN SALUD (SUA): </w:t>
      </w:r>
      <w:r w:rsidRPr="00404F8E">
        <w:rPr>
          <w:rFonts w:ascii="Arial" w:hAnsi="Arial" w:cs="Arial"/>
          <w:lang w:val="es-ES"/>
        </w:rPr>
        <w:t>Es una estrategia para ser utilizada por aquellas entidades del Sistema General de Seguridad Social en Salud, SGSSS, que voluntariamente quieran demostrar el cumplimiento de niveles superiores de calidad, a través de una herramienta de gestión gerencial que impacta de manera notable la resolución de muchos de sus problemas críticos. Es una estrategia y una metodología de mejoramiento continuo de la calidad específica para las entidades de salud, de larga trayectoria y desarrollo conceptual y metodológico a escala mundial y de probada efectividad.</w:t>
      </w:r>
    </w:p>
    <w:p w:rsidR="00404F8E" w:rsidRPr="00404F8E" w:rsidRDefault="00404F8E" w:rsidP="00404F8E">
      <w:pPr>
        <w:jc w:val="both"/>
        <w:rPr>
          <w:rFonts w:ascii="Arial" w:hAnsi="Arial" w:cs="Arial"/>
          <w:lang w:val="es-ES"/>
        </w:rPr>
      </w:pPr>
    </w:p>
    <w:p w:rsidR="00404F8E" w:rsidRDefault="00404F8E" w:rsidP="00404F8E">
      <w:pPr>
        <w:jc w:val="both"/>
        <w:rPr>
          <w:rFonts w:ascii="Arial" w:hAnsi="Arial" w:cs="Arial"/>
          <w:b/>
          <w:lang w:val="es-ES"/>
        </w:rPr>
      </w:pPr>
    </w:p>
    <w:p w:rsidR="00404F8E" w:rsidRDefault="00404F8E" w:rsidP="00404F8E">
      <w:pPr>
        <w:jc w:val="both"/>
        <w:rPr>
          <w:rFonts w:ascii="Arial" w:hAnsi="Arial" w:cs="Arial"/>
          <w:b/>
          <w:lang w:val="es-ES"/>
        </w:rPr>
      </w:pPr>
    </w:p>
    <w:p w:rsidR="00404F8E" w:rsidRDefault="00404F8E" w:rsidP="00404F8E">
      <w:pPr>
        <w:jc w:val="both"/>
        <w:rPr>
          <w:rFonts w:ascii="Arial" w:hAnsi="Arial" w:cs="Arial"/>
          <w:b/>
          <w:lang w:val="es-ES"/>
        </w:rPr>
      </w:pPr>
    </w:p>
    <w:p w:rsidR="00404F8E" w:rsidRDefault="00404F8E" w:rsidP="00404F8E">
      <w:pPr>
        <w:jc w:val="both"/>
        <w:rPr>
          <w:rFonts w:ascii="Arial" w:hAnsi="Arial" w:cs="Arial"/>
          <w:b/>
          <w:lang w:val="es-ES"/>
        </w:rPr>
      </w:pPr>
    </w:p>
    <w:p w:rsidR="00404F8E" w:rsidRDefault="00404F8E" w:rsidP="00404F8E">
      <w:pPr>
        <w:jc w:val="both"/>
        <w:rPr>
          <w:rFonts w:ascii="Arial" w:hAnsi="Arial" w:cs="Arial"/>
          <w:b/>
          <w:lang w:val="es-ES"/>
        </w:rPr>
      </w:pPr>
    </w:p>
    <w:p w:rsidR="00404F8E" w:rsidRDefault="00404F8E" w:rsidP="00404F8E">
      <w:pPr>
        <w:jc w:val="both"/>
        <w:rPr>
          <w:rFonts w:ascii="Arial" w:hAnsi="Arial" w:cs="Arial"/>
          <w:b/>
          <w:lang w:val="es-ES"/>
        </w:rPr>
      </w:pPr>
    </w:p>
    <w:p w:rsidR="00404F8E" w:rsidRDefault="00404F8E" w:rsidP="00404F8E">
      <w:pPr>
        <w:jc w:val="both"/>
        <w:rPr>
          <w:rFonts w:ascii="Arial" w:hAnsi="Arial" w:cs="Arial"/>
          <w:b/>
          <w:lang w:val="es-ES"/>
        </w:rPr>
      </w:pPr>
    </w:p>
    <w:p w:rsidR="00404F8E" w:rsidRDefault="00404F8E" w:rsidP="00404F8E">
      <w:pPr>
        <w:jc w:val="both"/>
        <w:rPr>
          <w:rFonts w:ascii="Arial" w:hAnsi="Arial" w:cs="Arial"/>
          <w:b/>
          <w:lang w:val="es-ES"/>
        </w:rPr>
      </w:pPr>
    </w:p>
    <w:p w:rsidR="00404F8E" w:rsidRPr="00404F8E" w:rsidRDefault="00404F8E" w:rsidP="00404F8E">
      <w:pPr>
        <w:jc w:val="both"/>
        <w:rPr>
          <w:rFonts w:ascii="Arial" w:hAnsi="Arial" w:cs="Arial"/>
          <w:b/>
          <w:lang w:val="es-ES"/>
        </w:rPr>
      </w:pPr>
      <w:r w:rsidRPr="00404F8E">
        <w:rPr>
          <w:rFonts w:ascii="Arial" w:hAnsi="Arial" w:cs="Arial"/>
          <w:b/>
          <w:lang w:val="es-ES"/>
        </w:rPr>
        <w:t>RESOLUCIÓN 1445 DEL 2006 LINEAMIENTOS PARA LA IMPLEMENTACIÓN DE LA POLÍTICA DE SEGURIDAD DEL PACIENTE</w:t>
      </w:r>
    </w:p>
    <w:p w:rsidR="00404F8E" w:rsidRPr="00404F8E" w:rsidRDefault="00404F8E" w:rsidP="00404F8E">
      <w:pPr>
        <w:jc w:val="both"/>
        <w:rPr>
          <w:rFonts w:ascii="Arial" w:hAnsi="Arial" w:cs="Arial"/>
          <w:b/>
          <w:lang w:val="es-ES"/>
        </w:rPr>
      </w:pPr>
    </w:p>
    <w:p w:rsidR="00404F8E" w:rsidRPr="00404F8E" w:rsidRDefault="00404F8E" w:rsidP="00404F8E">
      <w:pPr>
        <w:jc w:val="both"/>
        <w:rPr>
          <w:rFonts w:ascii="Arial" w:hAnsi="Arial" w:cs="Arial"/>
          <w:lang w:val="es-ES"/>
        </w:rPr>
      </w:pPr>
      <w:r w:rsidRPr="00404F8E">
        <w:rPr>
          <w:rFonts w:ascii="Arial" w:hAnsi="Arial" w:cs="Arial"/>
          <w:b/>
          <w:lang w:val="es-ES"/>
        </w:rPr>
        <w:t>SEGURIDAD DEL PACIENTE</w:t>
      </w:r>
      <w:r w:rsidRPr="00404F8E">
        <w:rPr>
          <w:rFonts w:ascii="Arial" w:hAnsi="Arial" w:cs="Arial"/>
          <w:lang w:val="es-ES"/>
        </w:rPr>
        <w:t xml:space="preserve"> </w:t>
      </w:r>
    </w:p>
    <w:p w:rsidR="00404F8E" w:rsidRPr="00404F8E" w:rsidRDefault="00404F8E" w:rsidP="00404F8E">
      <w:pPr>
        <w:jc w:val="both"/>
        <w:rPr>
          <w:rFonts w:ascii="Arial" w:hAnsi="Arial" w:cs="Arial"/>
          <w:lang w:val="es-ES"/>
        </w:rPr>
      </w:pPr>
      <w:r w:rsidRPr="00404F8E">
        <w:rPr>
          <w:rFonts w:ascii="Arial" w:hAnsi="Arial" w:cs="Arial"/>
          <w:lang w:val="es-ES"/>
        </w:rPr>
        <w:t>Es el conjunto de elementos estructurales, procesos, instrumentos y metodologías basadas en evidencias científicamente probadas que propenden por minimizar el riesgo de sufrir un evento adverso en el proceso de atención de salud o de mitigar sus consecuencias.</w:t>
      </w:r>
    </w:p>
    <w:p w:rsidR="00404F8E" w:rsidRPr="00404F8E" w:rsidRDefault="00404F8E" w:rsidP="00404F8E">
      <w:pPr>
        <w:jc w:val="both"/>
        <w:rPr>
          <w:rFonts w:ascii="Arial" w:hAnsi="Arial" w:cs="Arial"/>
          <w:lang w:val="es-ES"/>
        </w:rPr>
      </w:pPr>
    </w:p>
    <w:p w:rsidR="00404F8E" w:rsidRPr="00FA16FD" w:rsidRDefault="00404F8E" w:rsidP="00404F8E">
      <w:pPr>
        <w:jc w:val="both"/>
        <w:rPr>
          <w:rFonts w:ascii="Arial" w:hAnsi="Arial" w:cs="Arial"/>
          <w:b/>
        </w:rPr>
      </w:pPr>
      <w:r w:rsidRPr="00FA16FD">
        <w:rPr>
          <w:rFonts w:ascii="Arial" w:hAnsi="Arial" w:cs="Arial"/>
          <w:b/>
        </w:rPr>
        <w:t>STANDAR DE SEGURIDAD DEL PACIENTE</w:t>
      </w:r>
    </w:p>
    <w:p w:rsidR="00404F8E" w:rsidRDefault="00404F8E" w:rsidP="00404F8E">
      <w:pPr>
        <w:pStyle w:val="Prrafodelista"/>
        <w:numPr>
          <w:ilvl w:val="0"/>
          <w:numId w:val="2"/>
        </w:numPr>
        <w:jc w:val="both"/>
        <w:rPr>
          <w:rFonts w:ascii="Arial" w:hAnsi="Arial" w:cs="Arial"/>
          <w:sz w:val="24"/>
          <w:szCs w:val="24"/>
        </w:rPr>
      </w:pPr>
      <w:r>
        <w:rPr>
          <w:rFonts w:ascii="Arial" w:hAnsi="Arial" w:cs="Arial"/>
          <w:sz w:val="24"/>
          <w:szCs w:val="24"/>
        </w:rPr>
        <w:t>Que tenga formulado, implementado y evaluado la política de seguridad del paciente</w:t>
      </w:r>
    </w:p>
    <w:p w:rsidR="00404F8E" w:rsidRDefault="00404F8E" w:rsidP="00404F8E">
      <w:pPr>
        <w:pStyle w:val="Prrafodelista"/>
        <w:numPr>
          <w:ilvl w:val="0"/>
          <w:numId w:val="2"/>
        </w:numPr>
        <w:jc w:val="both"/>
        <w:rPr>
          <w:rFonts w:ascii="Arial" w:hAnsi="Arial" w:cs="Arial"/>
          <w:sz w:val="24"/>
          <w:szCs w:val="24"/>
        </w:rPr>
      </w:pPr>
      <w:r>
        <w:rPr>
          <w:rFonts w:ascii="Arial" w:hAnsi="Arial" w:cs="Arial"/>
          <w:sz w:val="24"/>
          <w:szCs w:val="24"/>
        </w:rPr>
        <w:t>Que tenga generada las medidas de cultura de seguridad</w:t>
      </w:r>
    </w:p>
    <w:p w:rsidR="00404F8E" w:rsidRDefault="00404F8E" w:rsidP="00404F8E">
      <w:pPr>
        <w:pStyle w:val="Prrafodelista"/>
        <w:numPr>
          <w:ilvl w:val="0"/>
          <w:numId w:val="2"/>
        </w:numPr>
        <w:jc w:val="both"/>
        <w:rPr>
          <w:rFonts w:ascii="Arial" w:hAnsi="Arial" w:cs="Arial"/>
          <w:sz w:val="24"/>
          <w:szCs w:val="24"/>
        </w:rPr>
      </w:pPr>
      <w:r>
        <w:rPr>
          <w:rFonts w:ascii="Arial" w:hAnsi="Arial" w:cs="Arial"/>
          <w:sz w:val="24"/>
          <w:szCs w:val="24"/>
        </w:rPr>
        <w:t>Que se enfoque a procesos seguros para prevenir las falla</w:t>
      </w:r>
    </w:p>
    <w:p w:rsidR="00404F8E" w:rsidRDefault="00404F8E" w:rsidP="00404F8E">
      <w:pPr>
        <w:pStyle w:val="Prrafodelista"/>
        <w:numPr>
          <w:ilvl w:val="0"/>
          <w:numId w:val="2"/>
        </w:numPr>
        <w:jc w:val="both"/>
        <w:rPr>
          <w:rFonts w:ascii="Arial" w:hAnsi="Arial" w:cs="Arial"/>
          <w:sz w:val="24"/>
          <w:szCs w:val="24"/>
        </w:rPr>
      </w:pPr>
      <w:r>
        <w:rPr>
          <w:rFonts w:ascii="Arial" w:hAnsi="Arial" w:cs="Arial"/>
          <w:sz w:val="24"/>
          <w:szCs w:val="24"/>
        </w:rPr>
        <w:t>Que implemente la totalidad de las recomendaciones que sean aplicables a la Guía técnica de buenas prácticas en seguridad del paciente en la atención en salud</w:t>
      </w:r>
    </w:p>
    <w:p w:rsidR="00404F8E" w:rsidRPr="00404F8E" w:rsidRDefault="00404F8E" w:rsidP="00404F8E">
      <w:pPr>
        <w:jc w:val="both"/>
        <w:rPr>
          <w:rFonts w:ascii="Arial" w:hAnsi="Arial" w:cs="Arial"/>
          <w:lang w:val="es-ES"/>
        </w:rPr>
      </w:pPr>
    </w:p>
    <w:p w:rsidR="00404F8E" w:rsidRPr="00404F8E" w:rsidRDefault="00404F8E" w:rsidP="00404F8E">
      <w:pPr>
        <w:jc w:val="both"/>
        <w:rPr>
          <w:rFonts w:ascii="Arial" w:hAnsi="Arial" w:cs="Arial"/>
          <w:b/>
          <w:lang w:val="es-ES"/>
        </w:rPr>
      </w:pPr>
      <w:r w:rsidRPr="00404F8E">
        <w:rPr>
          <w:rFonts w:ascii="Arial" w:hAnsi="Arial" w:cs="Arial"/>
          <w:b/>
          <w:lang w:val="es-ES"/>
        </w:rPr>
        <w:t>SISTEMA UNICO DE HABILITACIÓN RESOLUCIÓN 2003 DEL 28 DE MAYO DEL 2014</w:t>
      </w:r>
    </w:p>
    <w:p w:rsidR="00404F8E" w:rsidRPr="00AB3C78" w:rsidRDefault="00404F8E" w:rsidP="00404F8E">
      <w:pPr>
        <w:pStyle w:val="Sinespaciado"/>
        <w:rPr>
          <w:rFonts w:ascii="Arial" w:eastAsiaTheme="majorEastAsia" w:hAnsi="Arial" w:cs="Arial"/>
          <w:b/>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C78">
        <w:rPr>
          <w:rFonts w:ascii="Arial" w:hAnsi="Arial" w:cs="Arial"/>
          <w:sz w:val="24"/>
          <w:szCs w:val="24"/>
        </w:rPr>
        <w:t>Por la cual se definen los procedimientos y condiciones de inscripción de los Prestadores de Servicios de Salud y de habilitación de servicios de salud</w:t>
      </w:r>
    </w:p>
    <w:p w:rsidR="00404F8E" w:rsidRDefault="00404F8E" w:rsidP="00404F8E">
      <w:pPr>
        <w:pStyle w:val="Sinespaciado"/>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Pr="00431273" w:rsidRDefault="00404F8E" w:rsidP="00404F8E">
      <w:pPr>
        <w:pStyle w:val="Sinespaciado"/>
        <w:numPr>
          <w:ilvl w:val="0"/>
          <w:numId w:val="3"/>
        </w:numPr>
        <w:jc w:val="both"/>
        <w:rPr>
          <w:rFonts w:ascii="Arial" w:eastAsiaTheme="majorEastAsia" w:hAnsi="Arial" w:cs="Arial"/>
          <w:bCs/>
          <w:iCs/>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273">
        <w:rPr>
          <w:rFonts w:ascii="Arial" w:eastAsiaTheme="majorEastAsia" w:hAnsi="Arial" w:cs="Arial"/>
          <w:bCs/>
          <w:iCs/>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 DE SEGURIDAD DEL PACIENTE</w:t>
      </w:r>
    </w:p>
    <w:p w:rsidR="00404F8E" w:rsidRPr="00431273" w:rsidRDefault="00404F8E" w:rsidP="00404F8E">
      <w:pPr>
        <w:pStyle w:val="Sinespaciado"/>
        <w:jc w:val="both"/>
        <w:rPr>
          <w:rFonts w:ascii="Arial" w:eastAsiaTheme="majorEastAsia" w:hAnsi="Arial" w:cs="Arial"/>
          <w:bCs/>
          <w:iCs/>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Pr="00431273" w:rsidRDefault="00404F8E" w:rsidP="00404F8E">
      <w:pPr>
        <w:pStyle w:val="Sinespaciado"/>
        <w:numPr>
          <w:ilvl w:val="0"/>
          <w:numId w:val="3"/>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273">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POLITICA DE SEGURIDAD DEL PACIENTE EN LA REPUBLICA DE COLOMBIA</w:t>
      </w:r>
    </w:p>
    <w:p w:rsidR="00404F8E" w:rsidRDefault="00404F8E" w:rsidP="00404F8E">
      <w:pPr>
        <w:pStyle w:val="Sinespaciado"/>
        <w:numPr>
          <w:ilvl w:val="0"/>
          <w:numId w:val="4"/>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Direccionar las </w:t>
      </w:r>
      <w:proofErr w:type="spellStart"/>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politicas</w:t>
      </w:r>
      <w:proofErr w:type="spellEnd"/>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institucionales </w:t>
      </w:r>
    </w:p>
    <w:p w:rsidR="00404F8E" w:rsidRDefault="00404F8E" w:rsidP="00404F8E">
      <w:pPr>
        <w:pStyle w:val="Sinespaciado"/>
        <w:numPr>
          <w:ilvl w:val="0"/>
          <w:numId w:val="4"/>
        </w:numPr>
        <w:jc w:val="both"/>
        <w:rPr>
          <w:rFonts w:ascii="Arial" w:eastAsiaTheme="majorEastAsia" w:hAnsi="Arial" w:cs="Arial"/>
          <w:bCs/>
          <w:iCs/>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273">
        <w:rPr>
          <w:rFonts w:ascii="Arial" w:eastAsiaTheme="majorEastAsia" w:hAnsi="Arial" w:cs="Arial"/>
          <w:bCs/>
          <w:iCs/>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Disminuir el riesgo en la a</w:t>
      </w:r>
      <w:r>
        <w:rPr>
          <w:rFonts w:ascii="Arial" w:eastAsiaTheme="majorEastAsia" w:hAnsi="Arial" w:cs="Arial"/>
          <w:bCs/>
          <w:iCs/>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431273">
        <w:rPr>
          <w:rFonts w:ascii="Arial" w:eastAsiaTheme="majorEastAsia" w:hAnsi="Arial" w:cs="Arial"/>
          <w:bCs/>
          <w:iCs/>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enci</w:t>
      </w:r>
      <w:r>
        <w:rPr>
          <w:rFonts w:ascii="Arial" w:eastAsiaTheme="majorEastAsia" w:hAnsi="Arial" w:cs="Arial"/>
          <w:bCs/>
          <w:iCs/>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w:t>
      </w:r>
    </w:p>
    <w:p w:rsidR="00404F8E" w:rsidRPr="00431273" w:rsidRDefault="00404F8E" w:rsidP="00404F8E">
      <w:pPr>
        <w:pStyle w:val="Sinespaciado"/>
        <w:numPr>
          <w:ilvl w:val="0"/>
          <w:numId w:val="4"/>
        </w:numPr>
        <w:jc w:val="both"/>
        <w:rPr>
          <w:rFonts w:ascii="Arial" w:eastAsiaTheme="majorEastAsia" w:hAnsi="Arial" w:cs="Arial"/>
          <w:bCs/>
          <w:iCs/>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Prevenir la ocurrencia de eventos adversos</w:t>
      </w:r>
    </w:p>
    <w:p w:rsidR="00404F8E" w:rsidRPr="00431273" w:rsidRDefault="00404F8E" w:rsidP="00404F8E">
      <w:pPr>
        <w:pStyle w:val="Sinespaciado"/>
        <w:rPr>
          <w:rFonts w:ascii="Arial" w:hAnsi="Arial" w:cs="Arial"/>
          <w:sz w:val="24"/>
          <w:szCs w:val="24"/>
          <w:lang w:val="es-ES"/>
        </w:rPr>
      </w:pPr>
    </w:p>
    <w:p w:rsidR="00404F8E" w:rsidRDefault="00404F8E" w:rsidP="00404F8E">
      <w:pPr>
        <w:pStyle w:val="Sinespaciado"/>
        <w:rPr>
          <w:rFonts w:ascii="Arial" w:hAnsi="Arial" w:cs="Arial"/>
          <w:sz w:val="24"/>
          <w:szCs w:val="24"/>
          <w:lang w:val="es-ES"/>
        </w:rPr>
      </w:pPr>
    </w:p>
    <w:p w:rsidR="00404F8E" w:rsidRDefault="00404F8E" w:rsidP="00404F8E">
      <w:pPr>
        <w:pStyle w:val="Sinespaciado"/>
        <w:rPr>
          <w:rFonts w:ascii="Arial" w:hAnsi="Arial" w:cs="Arial"/>
          <w:b/>
          <w:sz w:val="24"/>
          <w:szCs w:val="24"/>
          <w:lang w:val="es-ES"/>
        </w:rPr>
      </w:pPr>
      <w:r>
        <w:rPr>
          <w:rFonts w:ascii="Arial" w:hAnsi="Arial" w:cs="Arial"/>
          <w:b/>
          <w:sz w:val="24"/>
          <w:szCs w:val="24"/>
          <w:lang w:val="es-ES"/>
        </w:rPr>
        <w:t>GUIAS PRACTICAS PARA LA SEGURIDAD DEL PACIENTE</w:t>
      </w:r>
    </w:p>
    <w:p w:rsidR="00404F8E" w:rsidRDefault="00404F8E" w:rsidP="00404F8E">
      <w:pPr>
        <w:pStyle w:val="Sinespaciado"/>
        <w:rPr>
          <w:rFonts w:ascii="Arial" w:hAnsi="Arial" w:cs="Arial"/>
          <w:b/>
          <w:sz w:val="24"/>
          <w:szCs w:val="24"/>
          <w:lang w:val="es-ES"/>
        </w:rPr>
      </w:pPr>
    </w:p>
    <w:p w:rsidR="00404F8E" w:rsidRDefault="00404F8E" w:rsidP="00404F8E">
      <w:pPr>
        <w:pStyle w:val="Sinespaciado"/>
        <w:rPr>
          <w:rFonts w:ascii="Arial" w:hAnsi="Arial" w:cs="Arial"/>
          <w:sz w:val="24"/>
          <w:szCs w:val="24"/>
          <w:shd w:val="clear" w:color="auto" w:fill="FFFFFF"/>
          <w:lang w:val="es-ES"/>
        </w:rPr>
      </w:pPr>
      <w:r>
        <w:rPr>
          <w:rFonts w:ascii="Arial" w:hAnsi="Arial" w:cs="Arial"/>
          <w:sz w:val="24"/>
          <w:szCs w:val="24"/>
          <w:shd w:val="clear" w:color="auto" w:fill="FFFFFF"/>
          <w:lang w:val="es-ES"/>
        </w:rPr>
        <w:t>S</w:t>
      </w:r>
      <w:r w:rsidRPr="004972C9">
        <w:rPr>
          <w:rFonts w:ascii="Arial" w:hAnsi="Arial" w:cs="Arial"/>
          <w:sz w:val="24"/>
          <w:szCs w:val="24"/>
          <w:shd w:val="clear" w:color="auto" w:fill="FFFFFF"/>
          <w:lang w:val="es-ES"/>
        </w:rPr>
        <w:t>u propósito es brindar recomendaciones técnicas para la operativización e implementación de los lineamientos en los procesos asistenciales, recopila las prácticas disponibles en la literatura médica, cuentan con evidencia suficiente o son recomendadas por grupos de expertos</w:t>
      </w:r>
    </w:p>
    <w:p w:rsidR="00404F8E" w:rsidRDefault="00404F8E" w:rsidP="00404F8E">
      <w:pPr>
        <w:pStyle w:val="Sinespaciado"/>
        <w:rPr>
          <w:rFonts w:ascii="Arial" w:hAnsi="Arial" w:cs="Arial"/>
          <w:b/>
          <w:sz w:val="24"/>
          <w:szCs w:val="24"/>
          <w:lang w:val="es-ES"/>
        </w:rPr>
      </w:pPr>
    </w:p>
    <w:p w:rsidR="00404F8E" w:rsidRDefault="00404F8E" w:rsidP="00404F8E">
      <w:pPr>
        <w:pStyle w:val="Sinespaciado"/>
        <w:rPr>
          <w:rFonts w:ascii="Arial" w:hAnsi="Arial" w:cs="Arial"/>
          <w:b/>
          <w:sz w:val="24"/>
          <w:szCs w:val="24"/>
          <w:lang w:val="es-ES"/>
        </w:rPr>
      </w:pPr>
    </w:p>
    <w:p w:rsidR="00404F8E" w:rsidRDefault="00404F8E" w:rsidP="00404F8E">
      <w:pPr>
        <w:pStyle w:val="Sinespaciado"/>
        <w:rPr>
          <w:rFonts w:ascii="Arial" w:hAnsi="Arial" w:cs="Arial"/>
          <w:b/>
          <w:sz w:val="24"/>
          <w:szCs w:val="24"/>
          <w:lang w:val="es-ES"/>
        </w:rPr>
      </w:pPr>
    </w:p>
    <w:p w:rsidR="00404F8E" w:rsidRDefault="00404F8E" w:rsidP="00404F8E">
      <w:pPr>
        <w:pStyle w:val="Sinespaciado"/>
        <w:rPr>
          <w:rFonts w:ascii="Arial" w:hAnsi="Arial" w:cs="Arial"/>
          <w:b/>
          <w:sz w:val="24"/>
          <w:szCs w:val="24"/>
          <w:lang w:val="es-ES"/>
        </w:rPr>
      </w:pPr>
    </w:p>
    <w:p w:rsidR="00404F8E" w:rsidRDefault="00404F8E" w:rsidP="00404F8E">
      <w:pPr>
        <w:pStyle w:val="Sinespaciado"/>
        <w:rPr>
          <w:rFonts w:ascii="Arial" w:hAnsi="Arial" w:cs="Arial"/>
          <w:b/>
          <w:sz w:val="24"/>
          <w:szCs w:val="24"/>
          <w:lang w:val="es-ES"/>
        </w:rPr>
      </w:pPr>
    </w:p>
    <w:p w:rsidR="00404F8E" w:rsidRPr="004972C9" w:rsidRDefault="00404F8E" w:rsidP="00404F8E">
      <w:pPr>
        <w:pStyle w:val="Sinespaciado"/>
        <w:rPr>
          <w:rFonts w:ascii="Arial" w:hAnsi="Arial" w:cs="Arial"/>
          <w:b/>
          <w:sz w:val="24"/>
          <w:szCs w:val="24"/>
          <w:lang w:val="es-ES"/>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A3D1639" wp14:editId="648A51FD">
            <wp:extent cx="4953000" cy="2771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51" t="29282" r="33130" b="21212"/>
                    <a:stretch/>
                  </pic:blipFill>
                  <pic:spPr bwMode="auto">
                    <a:xfrm>
                      <a:off x="0" y="0"/>
                      <a:ext cx="4959289" cy="2775294"/>
                    </a:xfrm>
                    <a:prstGeom prst="rect">
                      <a:avLst/>
                    </a:prstGeom>
                    <a:ln>
                      <a:noFill/>
                    </a:ln>
                    <a:extLst>
                      <a:ext uri="{53640926-AAD7-44D8-BBD7-CCE9431645EC}">
                        <a14:shadowObscured xmlns:a14="http://schemas.microsoft.com/office/drawing/2010/main"/>
                      </a:ext>
                    </a:extLst>
                  </pic:spPr>
                </pic:pic>
              </a:graphicData>
            </a:graphic>
          </wp:inline>
        </w:drawing>
      </w: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9783A1C" wp14:editId="0459FB40">
            <wp:extent cx="5343525" cy="303231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972" t="29282" r="33978" b="21212"/>
                    <a:stretch/>
                  </pic:blipFill>
                  <pic:spPr bwMode="auto">
                    <a:xfrm>
                      <a:off x="0" y="0"/>
                      <a:ext cx="5346768" cy="3034152"/>
                    </a:xfrm>
                    <a:prstGeom prst="rect">
                      <a:avLst/>
                    </a:prstGeom>
                    <a:ln>
                      <a:noFill/>
                    </a:ln>
                    <a:extLst>
                      <a:ext uri="{53640926-AAD7-44D8-BBD7-CCE9431645EC}">
                        <a14:shadowObscured xmlns:a14="http://schemas.microsoft.com/office/drawing/2010/main"/>
                      </a:ext>
                    </a:extLst>
                  </pic:spPr>
                </pic:pic>
              </a:graphicData>
            </a:graphic>
          </wp:inline>
        </w:drawing>
      </w: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B0866C6" wp14:editId="5C5B66F6">
            <wp:extent cx="5353050" cy="3080352"/>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81" t="29282" r="34148" b="21212"/>
                    <a:stretch/>
                  </pic:blipFill>
                  <pic:spPr bwMode="auto">
                    <a:xfrm>
                      <a:off x="0" y="0"/>
                      <a:ext cx="5364876" cy="3087157"/>
                    </a:xfrm>
                    <a:prstGeom prst="rect">
                      <a:avLst/>
                    </a:prstGeom>
                    <a:ln>
                      <a:noFill/>
                    </a:ln>
                    <a:extLst>
                      <a:ext uri="{53640926-AAD7-44D8-BBD7-CCE9431645EC}">
                        <a14:shadowObscured xmlns:a14="http://schemas.microsoft.com/office/drawing/2010/main"/>
                      </a:ext>
                    </a:extLst>
                  </pic:spPr>
                </pic:pic>
              </a:graphicData>
            </a:graphic>
          </wp:inline>
        </w:drawing>
      </w: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989CB93" wp14:editId="7653A8EE">
            <wp:extent cx="4924425" cy="2754923"/>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51" t="29583" r="33808" b="22117"/>
                    <a:stretch/>
                  </pic:blipFill>
                  <pic:spPr bwMode="auto">
                    <a:xfrm>
                      <a:off x="0" y="0"/>
                      <a:ext cx="4931359" cy="2758802"/>
                    </a:xfrm>
                    <a:prstGeom prst="rect">
                      <a:avLst/>
                    </a:prstGeom>
                    <a:ln>
                      <a:noFill/>
                    </a:ln>
                    <a:extLst>
                      <a:ext uri="{53640926-AAD7-44D8-BBD7-CCE9431645EC}">
                        <a14:shadowObscured xmlns:a14="http://schemas.microsoft.com/office/drawing/2010/main"/>
                      </a:ext>
                    </a:extLst>
                  </pic:spPr>
                </pic:pic>
              </a:graphicData>
            </a:graphic>
          </wp:inline>
        </w:drawing>
      </w: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Pr="00404F8E" w:rsidRDefault="00404F8E" w:rsidP="00404F8E">
      <w:pPr>
        <w:rPr>
          <w:rFonts w:ascii="Arial" w:eastAsiaTheme="majorEastAsia" w:hAnsi="Arial" w:cs="Arial"/>
          <w:b/>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F8E">
        <w:rPr>
          <w:rFonts w:ascii="Arial" w:eastAsiaTheme="majorEastAsia" w:hAnsi="Arial" w:cs="Arial"/>
          <w:b/>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RESOLUCIÓN 2003 DEL 2014 SISTEMA UNICO DE HABILITACIÓN</w:t>
      </w:r>
    </w:p>
    <w:p w:rsidR="00404F8E" w:rsidRPr="00404F8E" w:rsidRDefault="00404F8E" w:rsidP="00404F8E">
      <w:pPr>
        <w:jc w:val="both"/>
        <w:rPr>
          <w:rFonts w:ascii="Arial" w:eastAsiaTheme="majorEastAsia" w:hAnsi="Arial" w:cs="Arial"/>
          <w:b/>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91E">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ROCESOS PRIORITARIOS PARA TODOS LOS SERVICIOS</w:t>
      </w:r>
    </w:p>
    <w:p w:rsidR="00404F8E" w:rsidRDefault="00404F8E" w:rsidP="00404F8E">
      <w:pPr>
        <w:pStyle w:val="Prrafodelista"/>
        <w:numPr>
          <w:ilvl w:val="0"/>
          <w:numId w:val="6"/>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Contar con un programa de seguridad del paciente</w:t>
      </w:r>
    </w:p>
    <w:p w:rsidR="00404F8E" w:rsidRDefault="00404F8E" w:rsidP="00404F8E">
      <w:pPr>
        <w:pStyle w:val="Prrafodelista"/>
        <w:numPr>
          <w:ilvl w:val="0"/>
          <w:numId w:val="6"/>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Monitorización de aspectos relacionados con la seguridad del paciente</w:t>
      </w: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P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pStyle w:val="Prrafodelista"/>
        <w:numPr>
          <w:ilvl w:val="0"/>
          <w:numId w:val="6"/>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Detectar, prevenir y reducir el riesgo de infecciones asociados con la atención</w:t>
      </w:r>
    </w:p>
    <w:p w:rsidR="00404F8E" w:rsidRDefault="00404F8E" w:rsidP="00404F8E">
      <w:pPr>
        <w:pStyle w:val="Prrafodelista"/>
        <w:numPr>
          <w:ilvl w:val="0"/>
          <w:numId w:val="6"/>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Mejorar la seguridad de utilización de medicamentos</w:t>
      </w:r>
    </w:p>
    <w:p w:rsidR="00404F8E" w:rsidRDefault="00404F8E" w:rsidP="00404F8E">
      <w:pPr>
        <w:pStyle w:val="Prrafodelista"/>
        <w:numPr>
          <w:ilvl w:val="0"/>
          <w:numId w:val="6"/>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Asegurar la correcta identificación del paciente en los procesos asistenciales</w:t>
      </w:r>
    </w:p>
    <w:p w:rsidR="00404F8E" w:rsidRPr="00404F8E" w:rsidRDefault="00404F8E" w:rsidP="00404F8E">
      <w:pPr>
        <w:jc w:val="both"/>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F8E">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Vuelve obligatorio 10 de </w:t>
      </w:r>
      <w:proofErr w:type="gramStart"/>
      <w:r w:rsidRPr="00404F8E">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30 buenas prácticas</w:t>
      </w:r>
      <w:proofErr w:type="gramEnd"/>
    </w:p>
    <w:p w:rsidR="00404F8E" w:rsidRPr="00404F8E" w:rsidRDefault="00404F8E" w:rsidP="00404F8E">
      <w:pPr>
        <w:jc w:val="both"/>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HSOPITALIZACIÓN DE BAJA, MEDIANA Y ALTA COMPLEJIDAD</w:t>
      </w:r>
    </w:p>
    <w:p w:rsidR="00404F8E" w:rsidRDefault="00404F8E" w:rsidP="00404F8E">
      <w:pPr>
        <w:pStyle w:val="Prrafodelista"/>
        <w:numPr>
          <w:ilvl w:val="0"/>
          <w:numId w:val="7"/>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Prevención de escaras y ulceras de presión</w:t>
      </w:r>
    </w:p>
    <w:p w:rsidR="00404F8E" w:rsidRDefault="00404F8E" w:rsidP="00404F8E">
      <w:pPr>
        <w:pStyle w:val="Prrafodelista"/>
        <w:numPr>
          <w:ilvl w:val="0"/>
          <w:numId w:val="7"/>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Procesos para la reducción de frecuencia de caídas</w:t>
      </w:r>
    </w:p>
    <w:p w:rsidR="00404F8E" w:rsidRDefault="00404F8E" w:rsidP="00404F8E">
      <w:pPr>
        <w:pStyle w:val="Prrafodelista"/>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CIRUGIA DE BAJA, MEDIANA Y ALTA COMPLEJIDAD</w:t>
      </w:r>
    </w:p>
    <w:p w:rsidR="00404F8E" w:rsidRDefault="00404F8E" w:rsidP="00404F8E">
      <w:pPr>
        <w:pStyle w:val="Prrafodelista"/>
        <w:numPr>
          <w:ilvl w:val="0"/>
          <w:numId w:val="8"/>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Cirugía segura</w:t>
      </w:r>
    </w:p>
    <w:p w:rsidR="00404F8E" w:rsidRDefault="00404F8E" w:rsidP="00404F8E">
      <w:pPr>
        <w:pStyle w:val="Prrafodelista"/>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TRANSFUSIONES SANGUÍNEAS</w:t>
      </w:r>
    </w:p>
    <w:p w:rsidR="00404F8E" w:rsidRDefault="00404F8E" w:rsidP="00404F8E">
      <w:pPr>
        <w:pStyle w:val="Prrafodelista"/>
        <w:numPr>
          <w:ilvl w:val="0"/>
          <w:numId w:val="9"/>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Prevenir complicaciones</w:t>
      </w:r>
    </w:p>
    <w:p w:rsidR="00404F8E"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OBSTETRICIA DE BAJA, MEDIANA Y ALTA COMPLEJIDAD</w:t>
      </w:r>
    </w:p>
    <w:p w:rsidR="00404F8E" w:rsidRDefault="00404F8E" w:rsidP="00404F8E">
      <w:pPr>
        <w:pStyle w:val="Prrafodelista"/>
        <w:numPr>
          <w:ilvl w:val="0"/>
          <w:numId w:val="10"/>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Atención segura binomio madre e hijo</w:t>
      </w:r>
    </w:p>
    <w:p w:rsidR="00404F8E" w:rsidRPr="00404F8E" w:rsidRDefault="00404F8E" w:rsidP="00404F8E">
      <w:pPr>
        <w:jc w:val="both"/>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F8E">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principios orientadores de la Política son los siguientes</w:t>
      </w:r>
    </w:p>
    <w:p w:rsidR="00404F8E" w:rsidRDefault="00404F8E" w:rsidP="00404F8E">
      <w:pPr>
        <w:pStyle w:val="Prrafodelista"/>
        <w:numPr>
          <w:ilvl w:val="0"/>
          <w:numId w:val="11"/>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Enfoque de atención centrada en el usuario</w:t>
      </w:r>
    </w:p>
    <w:p w:rsidR="00404F8E" w:rsidRDefault="00404F8E" w:rsidP="00404F8E">
      <w:pPr>
        <w:pStyle w:val="Prrafodelista"/>
        <w:numPr>
          <w:ilvl w:val="0"/>
          <w:numId w:val="11"/>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 de seguridad</w:t>
      </w:r>
    </w:p>
    <w:p w:rsidR="00404F8E" w:rsidRDefault="00404F8E" w:rsidP="00404F8E">
      <w:pPr>
        <w:pStyle w:val="Prrafodelista"/>
        <w:numPr>
          <w:ilvl w:val="0"/>
          <w:numId w:val="11"/>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Integración con el sistema obligatorio de garantía de calidad de la atención en salud</w:t>
      </w:r>
    </w:p>
    <w:p w:rsidR="00404F8E" w:rsidRDefault="00404F8E" w:rsidP="00404F8E">
      <w:pPr>
        <w:pStyle w:val="Prrafodelista"/>
        <w:numPr>
          <w:ilvl w:val="0"/>
          <w:numId w:val="11"/>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Multicausalidad</w:t>
      </w:r>
      <w:proofErr w:type="spellEnd"/>
    </w:p>
    <w:p w:rsidR="00404F8E" w:rsidRDefault="00404F8E" w:rsidP="00404F8E">
      <w:pPr>
        <w:pStyle w:val="Prrafodelista"/>
        <w:numPr>
          <w:ilvl w:val="0"/>
          <w:numId w:val="11"/>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Validez</w:t>
      </w:r>
    </w:p>
    <w:p w:rsidR="00404F8E" w:rsidRDefault="00404F8E" w:rsidP="00404F8E">
      <w:pPr>
        <w:pStyle w:val="Prrafodelista"/>
        <w:numPr>
          <w:ilvl w:val="0"/>
          <w:numId w:val="11"/>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Alianza con el paciente y su familia</w:t>
      </w:r>
    </w:p>
    <w:p w:rsidR="00404F8E" w:rsidRDefault="00404F8E" w:rsidP="00404F8E">
      <w:pPr>
        <w:pStyle w:val="Prrafodelista"/>
        <w:numPr>
          <w:ilvl w:val="0"/>
          <w:numId w:val="11"/>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Alianza con el profesional de la salud</w:t>
      </w:r>
    </w:p>
    <w:p w:rsidR="00404F8E" w:rsidRPr="00404F8E" w:rsidRDefault="00404F8E" w:rsidP="00404F8E">
      <w:pPr>
        <w:jc w:val="both"/>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Pr="00404F8E" w:rsidRDefault="00404F8E" w:rsidP="00404F8E">
      <w:pPr>
        <w:jc w:val="both"/>
        <w:rPr>
          <w:rFonts w:ascii="Arial" w:eastAsiaTheme="majorEastAsia" w:hAnsi="Arial" w:cs="Arial"/>
          <w:b/>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F8E">
        <w:rPr>
          <w:rFonts w:ascii="Arial" w:eastAsiaTheme="majorEastAsia" w:hAnsi="Arial" w:cs="Arial"/>
          <w:b/>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POLIICA DE SEGURIDAD DEL PACIENTE EN LA REPUBLICA DE COLOMBIA</w:t>
      </w:r>
    </w:p>
    <w:p w:rsidR="00404F8E" w:rsidRPr="00404F8E" w:rsidRDefault="00404F8E" w:rsidP="00404F8E">
      <w:pPr>
        <w:jc w:val="both"/>
        <w:rPr>
          <w:rFonts w:ascii="Arial" w:eastAsiaTheme="majorEastAsia" w:hAnsi="Arial" w:cs="Arial"/>
          <w:b/>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pStyle w:val="Prrafodelista"/>
        <w:numPr>
          <w:ilvl w:val="0"/>
          <w:numId w:val="12"/>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Direccionar las políticas institucionales y el diseño de los procesos de atención en salud hacia la promoción de una atención en salud segura</w:t>
      </w:r>
    </w:p>
    <w:p w:rsidR="00404F8E" w:rsidRDefault="00404F8E" w:rsidP="00404F8E">
      <w:pPr>
        <w:pStyle w:val="Prrafodelista"/>
        <w:numPr>
          <w:ilvl w:val="0"/>
          <w:numId w:val="12"/>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Disminuir el riesgo en la atención en salud brindada a los pacientes</w:t>
      </w:r>
    </w:p>
    <w:p w:rsidR="00404F8E" w:rsidRDefault="00404F8E" w:rsidP="00404F8E">
      <w:pPr>
        <w:pStyle w:val="Prrafodelista"/>
        <w:numPr>
          <w:ilvl w:val="0"/>
          <w:numId w:val="12"/>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Prevenir l ocurrencia de eventos en los procesos de atención mediante el despliegue de metodologías científicamente probadas</w:t>
      </w: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P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pStyle w:val="Prrafodelista"/>
        <w:numPr>
          <w:ilvl w:val="0"/>
          <w:numId w:val="12"/>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Coordinar los diferentes actores </w:t>
      </w:r>
      <w:proofErr w:type="gramStart"/>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 sistemas</w:t>
      </w:r>
      <w:proofErr w:type="gramEnd"/>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hacia mejorar en calidad de la atención</w:t>
      </w:r>
    </w:p>
    <w:p w:rsidR="00404F8E" w:rsidRDefault="00404F8E" w:rsidP="00404F8E">
      <w:pPr>
        <w:pStyle w:val="Prrafodelista"/>
        <w:numPr>
          <w:ilvl w:val="0"/>
          <w:numId w:val="12"/>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Homologar la terminología a utilizar en el país</w:t>
      </w:r>
    </w:p>
    <w:p w:rsidR="00404F8E" w:rsidRDefault="00404F8E" w:rsidP="00404F8E">
      <w:pPr>
        <w:pStyle w:val="Prrafodelista"/>
        <w:numPr>
          <w:ilvl w:val="0"/>
          <w:numId w:val="12"/>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Educar a los pacientes y sus familiares en el conocimiento y abordaje de los factores que pueden potencialmente incidir en mejorar la seguridad de los procesos de atención.</w:t>
      </w:r>
    </w:p>
    <w:p w:rsidR="00404F8E" w:rsidRDefault="00404F8E" w:rsidP="00404F8E">
      <w:pPr>
        <w:pStyle w:val="Prrafodelista"/>
        <w:numPr>
          <w:ilvl w:val="0"/>
          <w:numId w:val="12"/>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Difundir en la opinión pública y los medios de comunicación </w:t>
      </w:r>
      <w:proofErr w:type="gramStart"/>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principio</w:t>
      </w:r>
      <w:proofErr w:type="gramEnd"/>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política de seguridad del paciente</w:t>
      </w:r>
    </w:p>
    <w:p w:rsidR="00404F8E" w:rsidRDefault="00404F8E" w:rsidP="00404F8E">
      <w:pPr>
        <w:pStyle w:val="Prrafodelista"/>
        <w:numPr>
          <w:ilvl w:val="0"/>
          <w:numId w:val="12"/>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Articular y coordinar con los principios, los objetivos y las estrategias de la seguridad del paciente</w:t>
      </w:r>
    </w:p>
    <w:p w:rsidR="00404F8E" w:rsidRPr="00404F8E" w:rsidRDefault="00404F8E" w:rsidP="00404F8E">
      <w:pPr>
        <w:jc w:val="both"/>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Pr="00404F8E" w:rsidRDefault="00404F8E" w:rsidP="00404F8E">
      <w:pPr>
        <w:jc w:val="both"/>
        <w:rPr>
          <w:rFonts w:ascii="Arial" w:eastAsiaTheme="majorEastAsia" w:hAnsi="Arial" w:cs="Arial"/>
          <w:b/>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F8E">
        <w:rPr>
          <w:rFonts w:ascii="Arial" w:eastAsiaTheme="majorEastAsia" w:hAnsi="Arial" w:cs="Arial"/>
          <w:b/>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MODELO CONCEPTUAL Y DEFINICIONES BASICAS DE LA POLITICA DE SEGURIDAD DEL PAICENTE</w:t>
      </w:r>
    </w:p>
    <w:p w:rsidR="00404F8E" w:rsidRPr="00404F8E" w:rsidRDefault="00404F8E" w:rsidP="00404F8E">
      <w:pPr>
        <w:jc w:val="both"/>
        <w:rPr>
          <w:rFonts w:ascii="Arial" w:eastAsiaTheme="majorEastAsia" w:hAnsi="Arial" w:cs="Arial"/>
          <w:b/>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Semántica</w:t>
      </w:r>
      <w:proofErr w:type="spellEnd"/>
      <w:r>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Política</w:t>
      </w:r>
    </w:p>
    <w:p w:rsidR="00404F8E" w:rsidRPr="003A5AD6"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AD6">
        <w:rPr>
          <w:rFonts w:ascii="Arial" w:hAnsi="Arial" w:cs="Arial"/>
          <w:sz w:val="24"/>
          <w:szCs w:val="24"/>
        </w:rPr>
        <w:t>SEGURIDAD DEL PACIENTE</w:t>
      </w:r>
      <w:r>
        <w:rPr>
          <w:rFonts w:ascii="Arial" w:hAnsi="Arial" w:cs="Arial"/>
          <w:sz w:val="24"/>
          <w:szCs w:val="24"/>
        </w:rPr>
        <w:t>: e</w:t>
      </w:r>
      <w:r w:rsidRPr="003A5AD6">
        <w:rPr>
          <w:rFonts w:ascii="Arial" w:hAnsi="Arial" w:cs="Arial"/>
          <w:sz w:val="24"/>
          <w:szCs w:val="24"/>
        </w:rPr>
        <w:t xml:space="preserve">s el conjunto de elementos estructurales, procesos, instrumentos y metodologías basadas en evidencias científicamente probadas que propenden por minimizar el riesgo de sufrir un evento adverso en el proceso de atención de salud o de mitigar sus consecuencias. </w:t>
      </w:r>
    </w:p>
    <w:p w:rsidR="00404F8E" w:rsidRPr="003A5AD6"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AD6">
        <w:rPr>
          <w:rFonts w:ascii="Arial" w:hAnsi="Arial" w:cs="Arial"/>
          <w:sz w:val="24"/>
          <w:szCs w:val="24"/>
        </w:rPr>
        <w:t xml:space="preserve">ATENCIÓN EN SALUD: </w:t>
      </w:r>
      <w:r>
        <w:rPr>
          <w:rFonts w:ascii="Arial" w:hAnsi="Arial" w:cs="Arial"/>
          <w:sz w:val="24"/>
          <w:szCs w:val="24"/>
        </w:rPr>
        <w:t>s</w:t>
      </w:r>
      <w:r w:rsidRPr="003A5AD6">
        <w:rPr>
          <w:rFonts w:ascii="Arial" w:hAnsi="Arial" w:cs="Arial"/>
          <w:sz w:val="24"/>
          <w:szCs w:val="24"/>
        </w:rPr>
        <w:t xml:space="preserve">ervicios recibidos por los individuos o las poblaciones para promover, mantener, monitorizar o restaurar la salud. </w:t>
      </w:r>
    </w:p>
    <w:p w:rsidR="00404F8E" w:rsidRPr="003A5AD6"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AD6">
        <w:rPr>
          <w:rFonts w:ascii="Arial" w:hAnsi="Arial" w:cs="Arial"/>
          <w:sz w:val="24"/>
          <w:szCs w:val="24"/>
        </w:rPr>
        <w:t>INDICIO DE ATENCIÓN INSEGURA</w:t>
      </w:r>
      <w:r>
        <w:rPr>
          <w:rFonts w:ascii="Arial" w:hAnsi="Arial" w:cs="Arial"/>
          <w:sz w:val="24"/>
          <w:szCs w:val="24"/>
        </w:rPr>
        <w:t>: u</w:t>
      </w:r>
      <w:r w:rsidRPr="003A5AD6">
        <w:rPr>
          <w:rFonts w:ascii="Arial" w:hAnsi="Arial" w:cs="Arial"/>
          <w:sz w:val="24"/>
          <w:szCs w:val="24"/>
        </w:rPr>
        <w:t xml:space="preserve">n acontecimiento o una circunstancia que pueden alertar acerca del incremento del riesgo de ocurrencia de un incidente o evento adverso. </w:t>
      </w:r>
    </w:p>
    <w:p w:rsidR="00404F8E" w:rsidRPr="003A5AD6"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AD6">
        <w:rPr>
          <w:rFonts w:ascii="Arial" w:hAnsi="Arial" w:cs="Arial"/>
          <w:sz w:val="24"/>
          <w:szCs w:val="24"/>
        </w:rPr>
        <w:t>FALLA DE LA ATENCIÓN EN SALUD</w:t>
      </w:r>
      <w:r>
        <w:rPr>
          <w:rFonts w:ascii="Arial" w:hAnsi="Arial" w:cs="Arial"/>
          <w:sz w:val="24"/>
          <w:szCs w:val="24"/>
        </w:rPr>
        <w:t>: u</w:t>
      </w:r>
      <w:r w:rsidRPr="003A5AD6">
        <w:rPr>
          <w:rFonts w:ascii="Arial" w:hAnsi="Arial" w:cs="Arial"/>
          <w:sz w:val="24"/>
          <w:szCs w:val="24"/>
        </w:rPr>
        <w:t xml:space="preserve">na deficiencia para realizar una acción prevista según lo programado o la utilización de un plan incorrecto, lo cual se puede manifestar mediante la ejecución de procesos incorrectos (falla de acción) o mediante la no ejecución de los procesos correctos (falla de omisión), en las fases de planeación o de ejecución. Las fallas son por definición no intencionales. </w:t>
      </w:r>
    </w:p>
    <w:p w:rsidR="00404F8E" w:rsidRPr="003A5AD6"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AD6">
        <w:rPr>
          <w:rFonts w:ascii="Arial" w:hAnsi="Arial" w:cs="Arial"/>
          <w:sz w:val="24"/>
          <w:szCs w:val="24"/>
        </w:rPr>
        <w:t>RIESGO</w:t>
      </w:r>
      <w:r>
        <w:rPr>
          <w:rFonts w:ascii="Arial" w:hAnsi="Arial" w:cs="Arial"/>
          <w:sz w:val="24"/>
          <w:szCs w:val="24"/>
        </w:rPr>
        <w:t>:</w:t>
      </w:r>
      <w:r w:rsidRPr="003A5AD6">
        <w:rPr>
          <w:rFonts w:ascii="Arial" w:hAnsi="Arial" w:cs="Arial"/>
          <w:sz w:val="24"/>
          <w:szCs w:val="24"/>
        </w:rPr>
        <w:t xml:space="preserve"> </w:t>
      </w:r>
      <w:r>
        <w:rPr>
          <w:rFonts w:ascii="Arial" w:hAnsi="Arial" w:cs="Arial"/>
          <w:sz w:val="24"/>
          <w:szCs w:val="24"/>
        </w:rPr>
        <w:t>e</w:t>
      </w:r>
      <w:r w:rsidRPr="003A5AD6">
        <w:rPr>
          <w:rFonts w:ascii="Arial" w:hAnsi="Arial" w:cs="Arial"/>
          <w:sz w:val="24"/>
          <w:szCs w:val="24"/>
        </w:rPr>
        <w:t xml:space="preserve">s la probabilidad que un incidente o evento adverso ocurra. </w:t>
      </w:r>
    </w:p>
    <w:p w:rsidR="00404F8E" w:rsidRPr="003A5AD6"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AD6">
        <w:rPr>
          <w:rFonts w:ascii="Arial" w:hAnsi="Arial" w:cs="Arial"/>
          <w:sz w:val="24"/>
          <w:szCs w:val="24"/>
        </w:rPr>
        <w:t>EVENTO ADVERSO</w:t>
      </w:r>
      <w:r>
        <w:rPr>
          <w:rFonts w:ascii="Arial" w:hAnsi="Arial" w:cs="Arial"/>
          <w:sz w:val="24"/>
          <w:szCs w:val="24"/>
        </w:rPr>
        <w:t>:</w:t>
      </w:r>
      <w:r w:rsidRPr="003A5AD6">
        <w:rPr>
          <w:rFonts w:ascii="Arial" w:hAnsi="Arial" w:cs="Arial"/>
          <w:sz w:val="24"/>
          <w:szCs w:val="24"/>
        </w:rPr>
        <w:t xml:space="preserve"> </w:t>
      </w:r>
      <w:r>
        <w:rPr>
          <w:rFonts w:ascii="Arial" w:hAnsi="Arial" w:cs="Arial"/>
          <w:sz w:val="24"/>
          <w:szCs w:val="24"/>
        </w:rPr>
        <w:t>e</w:t>
      </w:r>
      <w:r w:rsidRPr="003A5AD6">
        <w:rPr>
          <w:rFonts w:ascii="Arial" w:hAnsi="Arial" w:cs="Arial"/>
          <w:sz w:val="24"/>
          <w:szCs w:val="24"/>
        </w:rPr>
        <w:t xml:space="preserve">s el resultado de una atención en salud que de manera no intencional produjo daño. Los eventos adversos pueden ser prevenibles y no prevenibles: </w:t>
      </w:r>
    </w:p>
    <w:p w:rsidR="00404F8E" w:rsidRPr="00404F8E"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AD6">
        <w:rPr>
          <w:rFonts w:ascii="Arial" w:hAnsi="Arial" w:cs="Arial"/>
          <w:sz w:val="24"/>
          <w:szCs w:val="24"/>
        </w:rPr>
        <w:t>INCIDENTE</w:t>
      </w:r>
      <w:r>
        <w:rPr>
          <w:rFonts w:ascii="Arial" w:hAnsi="Arial" w:cs="Arial"/>
          <w:sz w:val="24"/>
          <w:szCs w:val="24"/>
        </w:rPr>
        <w:t>:</w:t>
      </w:r>
      <w:r w:rsidRPr="003A5AD6">
        <w:rPr>
          <w:rFonts w:ascii="Arial" w:hAnsi="Arial" w:cs="Arial"/>
          <w:sz w:val="24"/>
          <w:szCs w:val="24"/>
        </w:rPr>
        <w:t xml:space="preserve"> </w:t>
      </w:r>
      <w:r>
        <w:rPr>
          <w:rFonts w:ascii="Arial" w:hAnsi="Arial" w:cs="Arial"/>
          <w:sz w:val="24"/>
          <w:szCs w:val="24"/>
        </w:rPr>
        <w:t>e</w:t>
      </w:r>
      <w:r w:rsidRPr="003A5AD6">
        <w:rPr>
          <w:rFonts w:ascii="Arial" w:hAnsi="Arial" w:cs="Arial"/>
          <w:sz w:val="24"/>
          <w:szCs w:val="24"/>
        </w:rPr>
        <w:t xml:space="preserve">s un evento o circunstancia que sucede en la atención clínica de un paciente que no le genera daño, pero que en su ocurrencia se incorporan fallas en </w:t>
      </w:r>
      <w:proofErr w:type="spellStart"/>
      <w:r w:rsidRPr="003A5AD6">
        <w:rPr>
          <w:rFonts w:ascii="Arial" w:hAnsi="Arial" w:cs="Arial"/>
          <w:sz w:val="24"/>
          <w:szCs w:val="24"/>
        </w:rPr>
        <w:t>lo</w:t>
      </w:r>
      <w:proofErr w:type="spellEnd"/>
      <w:r w:rsidRPr="003A5AD6">
        <w:rPr>
          <w:rFonts w:ascii="Arial" w:hAnsi="Arial" w:cs="Arial"/>
          <w:sz w:val="24"/>
          <w:szCs w:val="24"/>
        </w:rPr>
        <w:t xml:space="preserve"> procesos de atención. </w:t>
      </w:r>
    </w:p>
    <w:p w:rsid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Pr="00404F8E" w:rsidRDefault="00404F8E" w:rsidP="00404F8E">
      <w:pPr>
        <w:jc w:val="both"/>
        <w:rPr>
          <w:rFonts w:ascii="Arial" w:eastAsiaTheme="majorEastAsia" w:hAnsi="Arial" w:cs="Arial"/>
          <w:bCs/>
          <w:iCs/>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Pr="003A5AD6"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AD6">
        <w:rPr>
          <w:rFonts w:ascii="Arial" w:hAnsi="Arial" w:cs="Arial"/>
          <w:sz w:val="24"/>
          <w:szCs w:val="24"/>
        </w:rPr>
        <w:t>COMPLICACIÓN</w:t>
      </w:r>
      <w:r>
        <w:rPr>
          <w:rFonts w:ascii="Arial" w:hAnsi="Arial" w:cs="Arial"/>
          <w:sz w:val="24"/>
          <w:szCs w:val="24"/>
        </w:rPr>
        <w:t>:</w:t>
      </w:r>
      <w:r w:rsidRPr="003A5AD6">
        <w:rPr>
          <w:rFonts w:ascii="Arial" w:hAnsi="Arial" w:cs="Arial"/>
          <w:sz w:val="24"/>
          <w:szCs w:val="24"/>
        </w:rPr>
        <w:t xml:space="preserve"> </w:t>
      </w:r>
      <w:r>
        <w:rPr>
          <w:rFonts w:ascii="Arial" w:hAnsi="Arial" w:cs="Arial"/>
          <w:sz w:val="24"/>
          <w:szCs w:val="24"/>
        </w:rPr>
        <w:t>e</w:t>
      </w:r>
      <w:r w:rsidRPr="003A5AD6">
        <w:rPr>
          <w:rFonts w:ascii="Arial" w:hAnsi="Arial" w:cs="Arial"/>
          <w:sz w:val="24"/>
          <w:szCs w:val="24"/>
        </w:rPr>
        <w:t xml:space="preserve">s el daño o resultado clínico no esperado no atribuible a la atención en salud sino a la enfermedad o a las condiciones propias del paciente. </w:t>
      </w:r>
    </w:p>
    <w:p w:rsidR="00404F8E" w:rsidRPr="003A5AD6"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AD6">
        <w:rPr>
          <w:rFonts w:ascii="Arial" w:hAnsi="Arial" w:cs="Arial"/>
          <w:sz w:val="24"/>
          <w:szCs w:val="24"/>
        </w:rPr>
        <w:t>VIOLACIÓN DE LA SEGURIDAD DE LA ATENCIÓN EN SALUD</w:t>
      </w:r>
      <w:r>
        <w:rPr>
          <w:rFonts w:ascii="Arial" w:hAnsi="Arial" w:cs="Arial"/>
          <w:sz w:val="24"/>
          <w:szCs w:val="24"/>
        </w:rPr>
        <w:t>: l</w:t>
      </w:r>
      <w:r w:rsidRPr="003A5AD6">
        <w:rPr>
          <w:rFonts w:ascii="Arial" w:hAnsi="Arial" w:cs="Arial"/>
          <w:sz w:val="24"/>
          <w:szCs w:val="24"/>
        </w:rPr>
        <w:t xml:space="preserve">as violaciones de la seguridad de la atención en salud son intencionales e implican la desviación deliberada de un procedimiento, de un estándar o de una norma de funcionamiento. </w:t>
      </w:r>
    </w:p>
    <w:p w:rsidR="00404F8E" w:rsidRPr="003A5AD6" w:rsidRDefault="00404F8E" w:rsidP="00404F8E">
      <w:pPr>
        <w:pStyle w:val="Prrafodelista"/>
        <w:numPr>
          <w:ilvl w:val="0"/>
          <w:numId w:val="5"/>
        </w:numPr>
        <w:jc w:val="both"/>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AD6">
        <w:rPr>
          <w:rFonts w:ascii="Arial" w:hAnsi="Arial" w:cs="Arial"/>
          <w:sz w:val="24"/>
          <w:szCs w:val="24"/>
        </w:rPr>
        <w:t>BARRERA DE SEGURIDAD</w:t>
      </w:r>
      <w:r>
        <w:rPr>
          <w:rFonts w:ascii="Arial" w:hAnsi="Arial" w:cs="Arial"/>
          <w:sz w:val="24"/>
          <w:szCs w:val="24"/>
        </w:rPr>
        <w:t>:</w:t>
      </w:r>
      <w:r w:rsidRPr="003A5AD6">
        <w:rPr>
          <w:rFonts w:ascii="Arial" w:hAnsi="Arial" w:cs="Arial"/>
          <w:sz w:val="24"/>
          <w:szCs w:val="24"/>
        </w:rPr>
        <w:t xml:space="preserve"> </w:t>
      </w:r>
      <w:r>
        <w:rPr>
          <w:rFonts w:ascii="Arial" w:hAnsi="Arial" w:cs="Arial"/>
          <w:sz w:val="24"/>
          <w:szCs w:val="24"/>
        </w:rPr>
        <w:t>u</w:t>
      </w:r>
      <w:r w:rsidRPr="003A5AD6">
        <w:rPr>
          <w:rFonts w:ascii="Arial" w:hAnsi="Arial" w:cs="Arial"/>
          <w:sz w:val="24"/>
          <w:szCs w:val="24"/>
        </w:rPr>
        <w:t xml:space="preserve">na acción o circunstancia que reduce la probabilidad de presentación del incidente o evento adverso. </w:t>
      </w:r>
    </w:p>
    <w:p w:rsidR="00404F8E" w:rsidRPr="00404F8E" w:rsidRDefault="00404F8E" w:rsidP="00404F8E">
      <w:pPr>
        <w:jc w:val="both"/>
        <w:rPr>
          <w:rFonts w:ascii="Arial" w:eastAsiaTheme="majorEastAsia" w:hAnsi="Arial" w:cs="Arial"/>
          <w:bCs/>
          <w:iCs/>
          <w:kern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F8E" w:rsidRPr="00404F8E" w:rsidRDefault="00404F8E" w:rsidP="00404F8E">
      <w:pPr>
        <w:jc w:val="both"/>
        <w:rPr>
          <w:rFonts w:ascii="Arial" w:hAnsi="Arial" w:cs="Arial"/>
          <w:lang w:val="es-ES"/>
        </w:rPr>
      </w:pPr>
      <w:r w:rsidRPr="00404F8E">
        <w:rPr>
          <w:rFonts w:ascii="Arial" w:hAnsi="Arial" w:cs="Arial"/>
          <w:b/>
          <w:lang w:val="es-ES"/>
        </w:rPr>
        <w:t>LOS ELEMENTOS ESTRATÉGICOS PARA LA MEJORA DE LA SEGURIDAD DEL PACIENTE</w:t>
      </w:r>
      <w:r w:rsidRPr="00404F8E">
        <w:rPr>
          <w:rFonts w:ascii="Arial" w:hAnsi="Arial" w:cs="Arial"/>
          <w:lang w:val="es-ES"/>
        </w:rPr>
        <w:t xml:space="preserve"> </w:t>
      </w:r>
    </w:p>
    <w:p w:rsidR="00404F8E" w:rsidRPr="00404F8E" w:rsidRDefault="00404F8E" w:rsidP="00404F8E">
      <w:pPr>
        <w:jc w:val="both"/>
        <w:rPr>
          <w:rFonts w:ascii="Arial" w:hAnsi="Arial" w:cs="Arial"/>
          <w:lang w:val="es-ES"/>
        </w:rPr>
      </w:pPr>
      <w:r w:rsidRPr="00404F8E">
        <w:rPr>
          <w:rFonts w:ascii="Arial" w:hAnsi="Arial" w:cs="Arial"/>
          <w:lang w:val="es-ES"/>
        </w:rPr>
        <w:t xml:space="preserve">La política institucional de Seguridad del paciente deberá estar coordinada con las líneas estratégicas en Seguridad del Paciente de la Política Nacional de Prestación de Servicios. Esta se </w:t>
      </w:r>
      <w:proofErr w:type="spellStart"/>
      <w:r w:rsidRPr="00404F8E">
        <w:rPr>
          <w:rFonts w:ascii="Arial" w:hAnsi="Arial" w:cs="Arial"/>
          <w:lang w:val="es-ES"/>
        </w:rPr>
        <w:t>operativizará</w:t>
      </w:r>
      <w:proofErr w:type="spellEnd"/>
      <w:r w:rsidRPr="00404F8E">
        <w:rPr>
          <w:rFonts w:ascii="Arial" w:hAnsi="Arial" w:cs="Arial"/>
          <w:lang w:val="es-ES"/>
        </w:rPr>
        <w:t xml:space="preserve"> a través de la acción coordinada de líneas de acción, agrupadas en cinco estrategias; tal como lo muestra la siguiente ilustración: </w:t>
      </w:r>
    </w:p>
    <w:p w:rsidR="00404F8E" w:rsidRPr="00404F8E" w:rsidRDefault="00404F8E" w:rsidP="00404F8E">
      <w:pPr>
        <w:jc w:val="both"/>
        <w:rPr>
          <w:rFonts w:ascii="Arial" w:hAnsi="Arial" w:cs="Arial"/>
          <w:b/>
          <w:lang w:val="es-ES"/>
        </w:rPr>
      </w:pPr>
    </w:p>
    <w:p w:rsidR="00404F8E" w:rsidRPr="00404F8E" w:rsidRDefault="00404F8E" w:rsidP="00404F8E">
      <w:pPr>
        <w:jc w:val="both"/>
        <w:rPr>
          <w:rFonts w:ascii="Arial" w:hAnsi="Arial" w:cs="Arial"/>
          <w:b/>
          <w:lang w:val="es-ES"/>
        </w:rPr>
      </w:pPr>
      <w:r w:rsidRPr="00404F8E">
        <w:rPr>
          <w:rFonts w:ascii="Arial" w:hAnsi="Arial" w:cs="Arial"/>
          <w:b/>
          <w:lang w:val="es-ES"/>
        </w:rPr>
        <w:t xml:space="preserve">ESTRATEGIA 1: ESTRATEGIA EDUCATIVA </w:t>
      </w:r>
    </w:p>
    <w:p w:rsidR="00404F8E" w:rsidRPr="008D577E" w:rsidRDefault="00404F8E" w:rsidP="00404F8E">
      <w:pPr>
        <w:pStyle w:val="Sinespaciado"/>
        <w:rPr>
          <w:rFonts w:ascii="Arial" w:hAnsi="Arial" w:cs="Arial"/>
          <w:sz w:val="24"/>
          <w:szCs w:val="24"/>
        </w:rPr>
      </w:pPr>
      <w:r w:rsidRPr="008D577E">
        <w:rPr>
          <w:rFonts w:ascii="Arial" w:hAnsi="Arial" w:cs="Arial"/>
          <w:sz w:val="24"/>
          <w:szCs w:val="24"/>
        </w:rPr>
        <w:sym w:font="Symbol" w:char="F0B7"/>
      </w:r>
      <w:r w:rsidRPr="008D577E">
        <w:rPr>
          <w:rFonts w:ascii="Arial" w:hAnsi="Arial" w:cs="Arial"/>
          <w:sz w:val="24"/>
          <w:szCs w:val="24"/>
        </w:rPr>
        <w:t xml:space="preserve"> Línea de Acción 1: Formación de Multiplicadores de la Política de Seguridad del Paciente </w:t>
      </w:r>
    </w:p>
    <w:p w:rsidR="00404F8E" w:rsidRPr="008D577E" w:rsidRDefault="00404F8E" w:rsidP="00404F8E">
      <w:pPr>
        <w:pStyle w:val="Sinespaciado"/>
        <w:rPr>
          <w:rFonts w:ascii="Arial" w:hAnsi="Arial" w:cs="Arial"/>
          <w:sz w:val="24"/>
          <w:szCs w:val="24"/>
        </w:rPr>
      </w:pPr>
      <w:r w:rsidRPr="008D577E">
        <w:rPr>
          <w:rFonts w:ascii="Arial" w:hAnsi="Arial" w:cs="Arial"/>
          <w:sz w:val="24"/>
          <w:szCs w:val="24"/>
        </w:rPr>
        <w:sym w:font="Symbol" w:char="F0B7"/>
      </w:r>
      <w:r w:rsidRPr="008D577E">
        <w:rPr>
          <w:rFonts w:ascii="Arial" w:hAnsi="Arial" w:cs="Arial"/>
          <w:sz w:val="24"/>
          <w:szCs w:val="24"/>
        </w:rPr>
        <w:t xml:space="preserve"> Línea de Acción 2: Formación de verificadores de habilitación con enfoque de riesgo </w:t>
      </w:r>
    </w:p>
    <w:p w:rsidR="00404F8E" w:rsidRPr="008D577E" w:rsidRDefault="00404F8E" w:rsidP="00404F8E">
      <w:pPr>
        <w:pStyle w:val="Sinespaciado"/>
        <w:rPr>
          <w:rFonts w:ascii="Arial" w:hAnsi="Arial" w:cs="Arial"/>
          <w:sz w:val="24"/>
          <w:szCs w:val="24"/>
        </w:rPr>
      </w:pPr>
      <w:r w:rsidRPr="008D577E">
        <w:rPr>
          <w:rFonts w:ascii="Arial" w:hAnsi="Arial" w:cs="Arial"/>
          <w:sz w:val="24"/>
          <w:szCs w:val="24"/>
        </w:rPr>
        <w:sym w:font="Symbol" w:char="F0B7"/>
      </w:r>
      <w:r w:rsidRPr="008D577E">
        <w:rPr>
          <w:rFonts w:ascii="Arial" w:hAnsi="Arial" w:cs="Arial"/>
          <w:sz w:val="24"/>
          <w:szCs w:val="24"/>
        </w:rPr>
        <w:t xml:space="preserve"> Línea de Acción 3: Promoción en la Universidades de la formación y la investigación en Seguridad del Paciente </w:t>
      </w:r>
    </w:p>
    <w:p w:rsidR="00404F8E" w:rsidRPr="008D577E" w:rsidRDefault="00404F8E" w:rsidP="00404F8E">
      <w:pPr>
        <w:pStyle w:val="Sinespaciado"/>
        <w:rPr>
          <w:rFonts w:ascii="Arial" w:hAnsi="Arial" w:cs="Arial"/>
          <w:sz w:val="24"/>
          <w:szCs w:val="24"/>
        </w:rPr>
      </w:pPr>
      <w:r w:rsidRPr="008D577E">
        <w:rPr>
          <w:rFonts w:ascii="Arial" w:hAnsi="Arial" w:cs="Arial"/>
          <w:sz w:val="24"/>
          <w:szCs w:val="24"/>
        </w:rPr>
        <w:sym w:font="Symbol" w:char="F0B7"/>
      </w:r>
      <w:r w:rsidRPr="008D577E">
        <w:rPr>
          <w:rFonts w:ascii="Arial" w:hAnsi="Arial" w:cs="Arial"/>
          <w:sz w:val="24"/>
          <w:szCs w:val="24"/>
        </w:rPr>
        <w:t xml:space="preserve"> Línea de acción 4: acciones educativas dirigidas al paciente, su familia y la comunidad </w:t>
      </w:r>
    </w:p>
    <w:p w:rsidR="00404F8E" w:rsidRPr="00404F8E" w:rsidRDefault="00404F8E" w:rsidP="00404F8E">
      <w:pPr>
        <w:jc w:val="both"/>
        <w:rPr>
          <w:rFonts w:ascii="Arial" w:hAnsi="Arial" w:cs="Arial"/>
          <w:lang w:val="es-ES"/>
        </w:rPr>
      </w:pPr>
    </w:p>
    <w:p w:rsidR="00404F8E" w:rsidRPr="00404F8E" w:rsidRDefault="00404F8E" w:rsidP="00404F8E">
      <w:pPr>
        <w:jc w:val="both"/>
        <w:rPr>
          <w:rFonts w:ascii="Arial" w:hAnsi="Arial" w:cs="Arial"/>
          <w:lang w:val="es-ES"/>
        </w:rPr>
      </w:pPr>
      <w:r w:rsidRPr="00404F8E">
        <w:rPr>
          <w:rFonts w:ascii="Arial" w:hAnsi="Arial" w:cs="Arial"/>
          <w:b/>
          <w:lang w:val="es-ES"/>
        </w:rPr>
        <w:t>ESTRATEGIA 2: PROMOCIÓN DE HERRAMIENTAS ORGANIZACIONALES</w:t>
      </w:r>
      <w:r w:rsidRPr="00404F8E">
        <w:rPr>
          <w:rFonts w:ascii="Arial" w:hAnsi="Arial" w:cs="Arial"/>
          <w:lang w:val="es-ES"/>
        </w:rPr>
        <w:t xml:space="preserve"> </w:t>
      </w:r>
    </w:p>
    <w:p w:rsidR="00404F8E" w:rsidRPr="008D577E" w:rsidRDefault="00404F8E" w:rsidP="00404F8E">
      <w:pPr>
        <w:pStyle w:val="Sinespaciado"/>
        <w:rPr>
          <w:rFonts w:ascii="Arial" w:hAnsi="Arial" w:cs="Arial"/>
          <w:sz w:val="24"/>
          <w:szCs w:val="24"/>
        </w:rPr>
      </w:pPr>
      <w:r w:rsidRPr="008D577E">
        <w:rPr>
          <w:rFonts w:ascii="Arial" w:hAnsi="Arial" w:cs="Arial"/>
          <w:sz w:val="24"/>
          <w:szCs w:val="24"/>
        </w:rPr>
        <w:sym w:font="Symbol" w:char="F0B7"/>
      </w:r>
      <w:r w:rsidRPr="008D577E">
        <w:rPr>
          <w:rFonts w:ascii="Arial" w:hAnsi="Arial" w:cs="Arial"/>
          <w:sz w:val="24"/>
          <w:szCs w:val="24"/>
        </w:rPr>
        <w:t xml:space="preserve"> Línea de Acción 1: Promoción de estudios de prevalencia en prestadores y aseguradores </w:t>
      </w:r>
    </w:p>
    <w:p w:rsidR="00404F8E" w:rsidRPr="008D577E" w:rsidRDefault="00404F8E" w:rsidP="00404F8E">
      <w:pPr>
        <w:pStyle w:val="Sinespaciado"/>
        <w:rPr>
          <w:rFonts w:ascii="Arial" w:hAnsi="Arial" w:cs="Arial"/>
          <w:sz w:val="24"/>
          <w:szCs w:val="24"/>
        </w:rPr>
      </w:pPr>
      <w:r w:rsidRPr="008D577E">
        <w:rPr>
          <w:rFonts w:ascii="Arial" w:hAnsi="Arial" w:cs="Arial"/>
          <w:sz w:val="24"/>
          <w:szCs w:val="24"/>
        </w:rPr>
        <w:sym w:font="Symbol" w:char="F0B7"/>
      </w:r>
      <w:r w:rsidRPr="008D577E">
        <w:rPr>
          <w:rFonts w:ascii="Arial" w:hAnsi="Arial" w:cs="Arial"/>
          <w:sz w:val="24"/>
          <w:szCs w:val="24"/>
        </w:rPr>
        <w:t xml:space="preserve"> Línea de Acción 2: Promoción de herramientas prácticas (reporte </w:t>
      </w:r>
      <w:proofErr w:type="spellStart"/>
      <w:r w:rsidRPr="008D577E">
        <w:rPr>
          <w:rFonts w:ascii="Arial" w:hAnsi="Arial" w:cs="Arial"/>
          <w:sz w:val="24"/>
          <w:szCs w:val="24"/>
        </w:rPr>
        <w:t>intrainstitucional</w:t>
      </w:r>
      <w:proofErr w:type="spellEnd"/>
      <w:r w:rsidRPr="008D577E">
        <w:rPr>
          <w:rFonts w:ascii="Arial" w:hAnsi="Arial" w:cs="Arial"/>
          <w:sz w:val="24"/>
          <w:szCs w:val="24"/>
        </w:rPr>
        <w:t xml:space="preserve">, métodos de análisis, rondas de seguridad) </w:t>
      </w:r>
    </w:p>
    <w:p w:rsidR="00404F8E" w:rsidRPr="008D577E" w:rsidRDefault="00404F8E" w:rsidP="00404F8E">
      <w:pPr>
        <w:pStyle w:val="Sinespaciado"/>
        <w:rPr>
          <w:rFonts w:ascii="Arial" w:hAnsi="Arial" w:cs="Arial"/>
          <w:sz w:val="24"/>
          <w:szCs w:val="24"/>
        </w:rPr>
      </w:pPr>
      <w:r w:rsidRPr="008D577E">
        <w:rPr>
          <w:rFonts w:ascii="Arial" w:hAnsi="Arial" w:cs="Arial"/>
          <w:sz w:val="24"/>
          <w:szCs w:val="24"/>
        </w:rPr>
        <w:sym w:font="Symbol" w:char="F0B7"/>
      </w:r>
      <w:r w:rsidRPr="008D577E">
        <w:rPr>
          <w:rFonts w:ascii="Arial" w:hAnsi="Arial" w:cs="Arial"/>
          <w:sz w:val="24"/>
          <w:szCs w:val="24"/>
        </w:rPr>
        <w:t xml:space="preserve"> Línea de Acción 3: Promoción del reporte </w:t>
      </w:r>
      <w:proofErr w:type="spellStart"/>
      <w:r w:rsidRPr="008D577E">
        <w:rPr>
          <w:rFonts w:ascii="Arial" w:hAnsi="Arial" w:cs="Arial"/>
          <w:sz w:val="24"/>
          <w:szCs w:val="24"/>
        </w:rPr>
        <w:t>extrainstitucional</w:t>
      </w:r>
      <w:proofErr w:type="spellEnd"/>
      <w:r w:rsidRPr="008D577E">
        <w:rPr>
          <w:rFonts w:ascii="Arial" w:hAnsi="Arial" w:cs="Arial"/>
          <w:sz w:val="24"/>
          <w:szCs w:val="24"/>
        </w:rPr>
        <w:t xml:space="preserve"> </w:t>
      </w:r>
    </w:p>
    <w:p w:rsidR="00404F8E" w:rsidRPr="00404F8E" w:rsidRDefault="00404F8E" w:rsidP="00404F8E">
      <w:pPr>
        <w:jc w:val="both"/>
        <w:rPr>
          <w:rFonts w:ascii="Arial" w:hAnsi="Arial" w:cs="Arial"/>
          <w:lang w:val="es-ES"/>
        </w:rPr>
      </w:pPr>
    </w:p>
    <w:p w:rsidR="00404F8E" w:rsidRDefault="00404F8E" w:rsidP="00404F8E">
      <w:pPr>
        <w:jc w:val="both"/>
        <w:rPr>
          <w:rFonts w:ascii="Arial" w:hAnsi="Arial" w:cs="Arial"/>
        </w:rPr>
      </w:pPr>
      <w:r w:rsidRPr="008D577E">
        <w:rPr>
          <w:rFonts w:ascii="Arial" w:hAnsi="Arial" w:cs="Arial"/>
          <w:b/>
        </w:rPr>
        <w:t>ESTRATEGIA 3: COORDINACIÓN DE ACTORES</w:t>
      </w:r>
      <w:r w:rsidRPr="00525B4D">
        <w:rPr>
          <w:rFonts w:ascii="Arial" w:hAnsi="Arial" w:cs="Arial"/>
        </w:rPr>
        <w:t xml:space="preserve"> </w:t>
      </w:r>
    </w:p>
    <w:p w:rsidR="00404F8E" w:rsidRPr="008D577E" w:rsidRDefault="00404F8E" w:rsidP="00404F8E">
      <w:pPr>
        <w:pStyle w:val="Sinespaciado"/>
        <w:rPr>
          <w:rFonts w:ascii="Arial" w:hAnsi="Arial" w:cs="Arial"/>
          <w:sz w:val="24"/>
          <w:szCs w:val="24"/>
        </w:rPr>
      </w:pPr>
      <w:r w:rsidRPr="008D577E">
        <w:rPr>
          <w:rFonts w:ascii="Arial" w:hAnsi="Arial" w:cs="Arial"/>
          <w:sz w:val="24"/>
          <w:szCs w:val="24"/>
        </w:rPr>
        <w:sym w:font="Symbol" w:char="F0B7"/>
      </w:r>
      <w:r w:rsidRPr="008D577E">
        <w:rPr>
          <w:rFonts w:ascii="Arial" w:hAnsi="Arial" w:cs="Arial"/>
          <w:sz w:val="24"/>
          <w:szCs w:val="24"/>
        </w:rPr>
        <w:t xml:space="preserve"> Línea de Acción 1: Constitución del Comité Técnico para la Seguridad del Paciente y desarrollo de normas técnicas a través de la Unidad Sectorial de Normalización en Salud </w:t>
      </w:r>
    </w:p>
    <w:p w:rsidR="00404F8E" w:rsidRDefault="00404F8E" w:rsidP="00404F8E">
      <w:pPr>
        <w:pStyle w:val="Sinespaciado"/>
        <w:rPr>
          <w:rFonts w:ascii="Arial" w:hAnsi="Arial" w:cs="Arial"/>
          <w:sz w:val="24"/>
          <w:szCs w:val="24"/>
        </w:rPr>
      </w:pPr>
      <w:r w:rsidRPr="008D577E">
        <w:rPr>
          <w:rFonts w:ascii="Arial" w:hAnsi="Arial" w:cs="Arial"/>
          <w:sz w:val="24"/>
          <w:szCs w:val="24"/>
        </w:rPr>
        <w:sym w:font="Symbol" w:char="F0B7"/>
      </w:r>
      <w:r w:rsidRPr="008D577E">
        <w:rPr>
          <w:rFonts w:ascii="Arial" w:hAnsi="Arial" w:cs="Arial"/>
          <w:sz w:val="24"/>
          <w:szCs w:val="24"/>
        </w:rPr>
        <w:t xml:space="preserve"> Línea de acción 2: Coordinación de aseguradores y prestadores alrededor de la política de seguridad del paciente </w:t>
      </w:r>
    </w:p>
    <w:p w:rsidR="00404F8E" w:rsidRDefault="00404F8E" w:rsidP="00404F8E">
      <w:pPr>
        <w:pStyle w:val="Sinespaciado"/>
        <w:rPr>
          <w:rFonts w:ascii="Arial" w:hAnsi="Arial" w:cs="Arial"/>
          <w:sz w:val="24"/>
          <w:szCs w:val="24"/>
        </w:rPr>
      </w:pPr>
    </w:p>
    <w:p w:rsidR="00404F8E" w:rsidRDefault="00404F8E" w:rsidP="00404F8E">
      <w:pPr>
        <w:pStyle w:val="Sinespaciado"/>
        <w:rPr>
          <w:rFonts w:ascii="Arial" w:hAnsi="Arial" w:cs="Arial"/>
          <w:sz w:val="24"/>
          <w:szCs w:val="24"/>
        </w:rPr>
      </w:pPr>
    </w:p>
    <w:p w:rsidR="00404F8E" w:rsidRDefault="00404F8E" w:rsidP="00404F8E">
      <w:pPr>
        <w:pStyle w:val="Sinespaciado"/>
        <w:rPr>
          <w:rFonts w:ascii="Arial" w:hAnsi="Arial" w:cs="Arial"/>
          <w:sz w:val="24"/>
          <w:szCs w:val="24"/>
        </w:rPr>
      </w:pPr>
    </w:p>
    <w:p w:rsidR="00404F8E" w:rsidRPr="008D577E" w:rsidRDefault="00404F8E" w:rsidP="00404F8E">
      <w:pPr>
        <w:pStyle w:val="Sinespaciado"/>
        <w:rPr>
          <w:rFonts w:ascii="Arial" w:hAnsi="Arial" w:cs="Arial"/>
          <w:sz w:val="24"/>
          <w:szCs w:val="24"/>
        </w:rPr>
      </w:pPr>
    </w:p>
    <w:p w:rsidR="00404F8E" w:rsidRPr="008D577E" w:rsidRDefault="00404F8E" w:rsidP="00404F8E">
      <w:pPr>
        <w:pStyle w:val="Sinespaciado"/>
        <w:rPr>
          <w:rFonts w:ascii="Arial" w:hAnsi="Arial" w:cs="Arial"/>
          <w:sz w:val="24"/>
          <w:szCs w:val="24"/>
        </w:rPr>
      </w:pPr>
      <w:r w:rsidRPr="008D577E">
        <w:rPr>
          <w:rFonts w:ascii="Arial" w:hAnsi="Arial" w:cs="Arial"/>
          <w:sz w:val="24"/>
          <w:szCs w:val="24"/>
        </w:rPr>
        <w:sym w:font="Symbol" w:char="F0B7"/>
      </w:r>
      <w:r w:rsidRPr="008D577E">
        <w:rPr>
          <w:rFonts w:ascii="Arial" w:hAnsi="Arial" w:cs="Arial"/>
          <w:sz w:val="24"/>
          <w:szCs w:val="24"/>
        </w:rPr>
        <w:t xml:space="preserve"> Línea de acción 3: Promoción de incentivos para la seguridad del paciente en el marco de la estrategia de incentivos para la calidad del Sistema Obligatorio de Garantía de Calidad del Atención en Salud </w:t>
      </w:r>
    </w:p>
    <w:p w:rsidR="00404F8E" w:rsidRPr="008D577E" w:rsidRDefault="00404F8E" w:rsidP="00404F8E">
      <w:pPr>
        <w:pStyle w:val="Sinespaciado"/>
        <w:rPr>
          <w:rFonts w:ascii="Arial" w:hAnsi="Arial" w:cs="Arial"/>
          <w:sz w:val="24"/>
          <w:szCs w:val="24"/>
        </w:rPr>
      </w:pPr>
      <w:r w:rsidRPr="008D577E">
        <w:rPr>
          <w:rFonts w:ascii="Arial" w:hAnsi="Arial" w:cs="Arial"/>
          <w:sz w:val="24"/>
          <w:szCs w:val="24"/>
        </w:rPr>
        <w:sym w:font="Symbol" w:char="F0B7"/>
      </w:r>
      <w:r w:rsidRPr="008D577E">
        <w:rPr>
          <w:rFonts w:ascii="Arial" w:hAnsi="Arial" w:cs="Arial"/>
          <w:sz w:val="24"/>
          <w:szCs w:val="24"/>
        </w:rPr>
        <w:t xml:space="preserve"> Línea de Acción 4: Coordinación de la acción de los organismos de Vigilancia y control con la política de seguridad del paciente </w:t>
      </w:r>
    </w:p>
    <w:p w:rsidR="00404F8E" w:rsidRPr="00404F8E" w:rsidRDefault="00404F8E" w:rsidP="00404F8E">
      <w:pPr>
        <w:jc w:val="both"/>
        <w:rPr>
          <w:rFonts w:ascii="Arial" w:hAnsi="Arial" w:cs="Arial"/>
          <w:lang w:val="es-ES"/>
        </w:rPr>
      </w:pPr>
    </w:p>
    <w:p w:rsidR="00404F8E" w:rsidRPr="00404F8E" w:rsidRDefault="00404F8E" w:rsidP="00404F8E">
      <w:pPr>
        <w:jc w:val="both"/>
        <w:rPr>
          <w:rFonts w:ascii="Arial" w:hAnsi="Arial" w:cs="Arial"/>
          <w:lang w:val="es-ES"/>
        </w:rPr>
      </w:pPr>
      <w:r w:rsidRPr="00404F8E">
        <w:rPr>
          <w:rFonts w:ascii="Arial" w:hAnsi="Arial" w:cs="Arial"/>
          <w:b/>
          <w:lang w:val="es-ES"/>
        </w:rPr>
        <w:t>ESTRATEGIA 4: ESTRATEGIA DE INFORMACIÓN</w:t>
      </w:r>
      <w:r w:rsidRPr="00404F8E">
        <w:rPr>
          <w:rFonts w:ascii="Arial" w:hAnsi="Arial" w:cs="Arial"/>
          <w:lang w:val="es-ES"/>
        </w:rPr>
        <w:t xml:space="preserve"> </w:t>
      </w:r>
    </w:p>
    <w:p w:rsidR="00404F8E" w:rsidRPr="008D577E" w:rsidRDefault="00404F8E" w:rsidP="00404F8E">
      <w:pPr>
        <w:pStyle w:val="Sinespaciado"/>
        <w:rPr>
          <w:rFonts w:ascii="Arial" w:hAnsi="Arial" w:cs="Arial"/>
          <w:sz w:val="24"/>
          <w:szCs w:val="24"/>
        </w:rPr>
      </w:pPr>
      <w:r w:rsidRPr="008D577E">
        <w:rPr>
          <w:rFonts w:ascii="Arial" w:hAnsi="Arial" w:cs="Arial"/>
          <w:sz w:val="24"/>
          <w:szCs w:val="24"/>
        </w:rPr>
        <w:sym w:font="Symbol" w:char="F0B7"/>
      </w:r>
      <w:r w:rsidRPr="008D577E">
        <w:rPr>
          <w:rFonts w:ascii="Arial" w:hAnsi="Arial" w:cs="Arial"/>
          <w:sz w:val="24"/>
          <w:szCs w:val="24"/>
        </w:rPr>
        <w:t xml:space="preserve"> Línea de acción 1: Plan de medios </w:t>
      </w:r>
    </w:p>
    <w:p w:rsidR="00404F8E" w:rsidRPr="008D577E" w:rsidRDefault="00404F8E" w:rsidP="00404F8E">
      <w:pPr>
        <w:pStyle w:val="Sinespaciado"/>
        <w:rPr>
          <w:rFonts w:ascii="Arial" w:hAnsi="Arial" w:cs="Arial"/>
          <w:sz w:val="24"/>
          <w:szCs w:val="24"/>
        </w:rPr>
      </w:pPr>
      <w:r w:rsidRPr="008D577E">
        <w:rPr>
          <w:rFonts w:ascii="Arial" w:hAnsi="Arial" w:cs="Arial"/>
          <w:sz w:val="24"/>
          <w:szCs w:val="24"/>
        </w:rPr>
        <w:sym w:font="Symbol" w:char="F0B7"/>
      </w:r>
      <w:r w:rsidRPr="008D577E">
        <w:rPr>
          <w:rFonts w:ascii="Arial" w:hAnsi="Arial" w:cs="Arial"/>
          <w:sz w:val="24"/>
          <w:szCs w:val="24"/>
        </w:rPr>
        <w:t xml:space="preserve"> Línea de Acción 1: Promoción de experiencias exitosas </w:t>
      </w:r>
    </w:p>
    <w:p w:rsidR="00404F8E" w:rsidRPr="008D577E" w:rsidRDefault="00404F8E" w:rsidP="00404F8E">
      <w:pPr>
        <w:pStyle w:val="Sinespaciado"/>
        <w:rPr>
          <w:rFonts w:ascii="Arial" w:eastAsiaTheme="majorEastAsia" w:hAnsi="Arial" w:cs="Arial"/>
          <w:bCs/>
          <w:iCs/>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577E">
        <w:rPr>
          <w:rFonts w:ascii="Arial" w:hAnsi="Arial" w:cs="Arial"/>
          <w:sz w:val="24"/>
          <w:szCs w:val="24"/>
        </w:rPr>
        <w:sym w:font="Symbol" w:char="F0B7"/>
      </w:r>
      <w:r w:rsidRPr="008D577E">
        <w:rPr>
          <w:rFonts w:ascii="Arial" w:hAnsi="Arial" w:cs="Arial"/>
          <w:sz w:val="24"/>
          <w:szCs w:val="24"/>
        </w:rPr>
        <w:t xml:space="preserve"> Línea de Acción 2: Difusión de Alertas de Seguridad del Paciente </w:t>
      </w:r>
    </w:p>
    <w:p w:rsidR="00601DE9" w:rsidRPr="00404F8E" w:rsidRDefault="00601DE9" w:rsidP="00601DE9">
      <w:pPr>
        <w:rPr>
          <w:rFonts w:ascii="Arial" w:hAnsi="Arial" w:cs="Arial"/>
          <w:lang w:val="es-CO"/>
        </w:rPr>
      </w:pPr>
    </w:p>
    <w:p w:rsidR="00601DE9" w:rsidRPr="00404F8E" w:rsidRDefault="00601DE9" w:rsidP="00601DE9">
      <w:pPr>
        <w:rPr>
          <w:rFonts w:ascii="Arial" w:hAnsi="Arial" w:cs="Arial"/>
          <w:lang w:val="es-ES"/>
        </w:rPr>
      </w:pPr>
    </w:p>
    <w:p w:rsidR="00601DE9" w:rsidRPr="00404F8E" w:rsidRDefault="00601DE9" w:rsidP="00601DE9">
      <w:pPr>
        <w:rPr>
          <w:rFonts w:ascii="Arial" w:hAnsi="Arial" w:cs="Arial"/>
          <w:lang w:val="es-ES"/>
        </w:rPr>
      </w:pPr>
    </w:p>
    <w:p w:rsidR="00601DE9" w:rsidRPr="00404F8E" w:rsidRDefault="00601DE9" w:rsidP="00601DE9">
      <w:pPr>
        <w:rPr>
          <w:rFonts w:ascii="Arial" w:hAnsi="Arial" w:cs="Arial"/>
          <w:lang w:val="es-ES"/>
        </w:rPr>
      </w:pPr>
    </w:p>
    <w:p w:rsidR="00601DE9" w:rsidRPr="00404F8E" w:rsidRDefault="00601DE9" w:rsidP="00601DE9">
      <w:pPr>
        <w:rPr>
          <w:rFonts w:ascii="Arial" w:hAnsi="Arial" w:cs="Arial"/>
          <w:lang w:val="es-ES"/>
        </w:rPr>
      </w:pPr>
    </w:p>
    <w:p w:rsidR="00601DE9" w:rsidRPr="00404F8E" w:rsidRDefault="00601DE9" w:rsidP="00601DE9">
      <w:pPr>
        <w:rPr>
          <w:rFonts w:ascii="Arial" w:hAnsi="Arial" w:cs="Arial"/>
          <w:lang w:val="es-ES"/>
        </w:rPr>
      </w:pPr>
    </w:p>
    <w:p w:rsidR="00601DE9" w:rsidRPr="00404F8E" w:rsidRDefault="00601DE9" w:rsidP="00601DE9">
      <w:pPr>
        <w:rPr>
          <w:rFonts w:ascii="Arial" w:hAnsi="Arial" w:cs="Arial"/>
          <w:lang w:val="es-ES"/>
        </w:rPr>
      </w:pPr>
    </w:p>
    <w:p w:rsidR="00601DE9" w:rsidRPr="00404F8E" w:rsidRDefault="00601DE9" w:rsidP="00601DE9">
      <w:pPr>
        <w:rPr>
          <w:rFonts w:ascii="Arial" w:hAnsi="Arial" w:cs="Arial"/>
          <w:lang w:val="es-ES"/>
        </w:rPr>
      </w:pPr>
    </w:p>
    <w:p w:rsidR="00601DE9" w:rsidRPr="00404F8E" w:rsidRDefault="00601DE9" w:rsidP="00601DE9">
      <w:pPr>
        <w:rPr>
          <w:rFonts w:ascii="Arial" w:hAnsi="Arial" w:cs="Arial"/>
          <w:lang w:val="es-ES"/>
        </w:rPr>
      </w:pPr>
    </w:p>
    <w:p w:rsidR="00601DE9" w:rsidRPr="00404F8E" w:rsidRDefault="00601DE9" w:rsidP="00601DE9">
      <w:pPr>
        <w:rPr>
          <w:rFonts w:ascii="Arial" w:hAnsi="Arial" w:cs="Arial"/>
          <w:lang w:val="es-ES"/>
        </w:rPr>
      </w:pPr>
    </w:p>
    <w:p w:rsidR="00601DE9" w:rsidRPr="00404F8E" w:rsidRDefault="00601DE9" w:rsidP="00601DE9">
      <w:pPr>
        <w:rPr>
          <w:rFonts w:ascii="Arial" w:hAnsi="Arial" w:cs="Arial"/>
          <w:lang w:val="es-ES"/>
        </w:rPr>
      </w:pPr>
    </w:p>
    <w:p w:rsidR="00601DE9" w:rsidRPr="00404F8E" w:rsidRDefault="00601DE9" w:rsidP="00601DE9">
      <w:pPr>
        <w:rPr>
          <w:rFonts w:ascii="Arial" w:hAnsi="Arial" w:cs="Arial"/>
          <w:lang w:val="es-ES"/>
        </w:rPr>
      </w:pPr>
    </w:p>
    <w:p w:rsidR="00373D6F" w:rsidRPr="00404F8E" w:rsidRDefault="00601DE9" w:rsidP="00601DE9">
      <w:pPr>
        <w:tabs>
          <w:tab w:val="left" w:pos="2820"/>
        </w:tabs>
        <w:rPr>
          <w:rFonts w:ascii="Arial" w:hAnsi="Arial" w:cs="Arial"/>
          <w:lang w:val="es-ES"/>
        </w:rPr>
      </w:pPr>
      <w:r w:rsidRPr="00404F8E">
        <w:rPr>
          <w:rFonts w:ascii="Arial" w:hAnsi="Arial" w:cs="Arial"/>
          <w:lang w:val="es-ES"/>
        </w:rPr>
        <w:tab/>
      </w: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p w:rsidR="00A870CF" w:rsidRPr="00404F8E" w:rsidRDefault="00A870CF" w:rsidP="00601DE9">
      <w:pPr>
        <w:tabs>
          <w:tab w:val="left" w:pos="2820"/>
        </w:tabs>
        <w:rPr>
          <w:rFonts w:ascii="Arial" w:hAnsi="Arial" w:cs="Arial"/>
          <w:lang w:val="es-ES"/>
        </w:rPr>
      </w:pPr>
    </w:p>
    <w:sectPr w:rsidR="00A870CF" w:rsidRPr="00404F8E" w:rsidSect="000816A6">
      <w:headerReference w:type="even" r:id="rId12"/>
      <w:headerReference w:type="default" r:id="rId13"/>
      <w:footerReference w:type="default" r:id="rId14"/>
      <w:head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FE1" w:rsidRDefault="00160FE1" w:rsidP="00BC5D01">
      <w:r>
        <w:separator/>
      </w:r>
    </w:p>
  </w:endnote>
  <w:endnote w:type="continuationSeparator" w:id="0">
    <w:p w:rsidR="00160FE1" w:rsidRDefault="00160FE1"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864F4A">
    <w:pPr>
      <w:pStyle w:val="Piedepgina"/>
    </w:pPr>
    <w:r>
      <w:rPr>
        <w:noProof/>
        <w:lang w:val="en-US"/>
      </w:rPr>
      <mc:AlternateContent>
        <mc:Choice Requires="wps">
          <w:drawing>
            <wp:anchor distT="0" distB="0" distL="114300" distR="114300" simplePos="0" relativeHeight="251672576" behindDoc="0" locked="0" layoutInCell="1" allowOverlap="1">
              <wp:simplePos x="0" y="0"/>
              <wp:positionH relativeFrom="column">
                <wp:posOffset>4111625</wp:posOffset>
              </wp:positionH>
              <wp:positionV relativeFrom="paragraph">
                <wp:posOffset>-303530</wp:posOffset>
              </wp:positionV>
              <wp:extent cx="1388110" cy="742950"/>
              <wp:effectExtent l="10160" t="9525" r="11430" b="9525"/>
              <wp:wrapNone/>
              <wp:docPr id="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110"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3600115" id="Rectangle 26" o:spid="_x0000_s1026" style="position:absolute;margin-left:323.75pt;margin-top:-23.9pt;width:109.3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FE1" w:rsidRDefault="00160FE1" w:rsidP="00BC5D01">
      <w:r>
        <w:separator/>
      </w:r>
    </w:p>
  </w:footnote>
  <w:footnote w:type="continuationSeparator" w:id="0">
    <w:p w:rsidR="00160FE1" w:rsidRDefault="00160FE1" w:rsidP="00BC5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160FE1">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160FE1">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sidR="00864F4A">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p>
                        <w:p w:rsidR="00CC2441" w:rsidRDefault="00CC2441" w:rsidP="00CC24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p>
                  <w:p w:rsidR="00CC2441" w:rsidRDefault="00CC2441" w:rsidP="00CC2441"/>
                </w:txbxContent>
              </v:textbox>
            </v:shape>
          </w:pict>
        </mc:Fallback>
      </mc:AlternateContent>
    </w:r>
    <w:r w:rsidR="00864F4A">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7"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yT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o&#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AQEYyT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p>
                </w:txbxContent>
              </v:textbox>
            </v:shape>
          </w:pict>
        </mc:Fallback>
      </mc:AlternateContent>
    </w:r>
    <w:r w:rsidR="00864F4A">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662B3A"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160FE1">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64EA"/>
    <w:multiLevelType w:val="hybridMultilevel"/>
    <w:tmpl w:val="C530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5805"/>
    <w:multiLevelType w:val="hybridMultilevel"/>
    <w:tmpl w:val="E0D27AAE"/>
    <w:lvl w:ilvl="0" w:tplc="F9E8D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B705D"/>
    <w:multiLevelType w:val="hybridMultilevel"/>
    <w:tmpl w:val="9C88A25C"/>
    <w:lvl w:ilvl="0" w:tplc="EC7E1B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117389"/>
    <w:multiLevelType w:val="hybridMultilevel"/>
    <w:tmpl w:val="04E0487E"/>
    <w:lvl w:ilvl="0" w:tplc="70946E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5C9455E"/>
    <w:multiLevelType w:val="hybridMultilevel"/>
    <w:tmpl w:val="8904DD40"/>
    <w:lvl w:ilvl="0" w:tplc="BA306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F769B3"/>
    <w:multiLevelType w:val="hybridMultilevel"/>
    <w:tmpl w:val="9D065732"/>
    <w:lvl w:ilvl="0" w:tplc="2AFA1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F87D68"/>
    <w:multiLevelType w:val="hybridMultilevel"/>
    <w:tmpl w:val="8ABCE496"/>
    <w:lvl w:ilvl="0" w:tplc="84286F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3208D1"/>
    <w:multiLevelType w:val="hybridMultilevel"/>
    <w:tmpl w:val="CFAED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5AC4EA3"/>
    <w:multiLevelType w:val="hybridMultilevel"/>
    <w:tmpl w:val="A1F4874A"/>
    <w:lvl w:ilvl="0" w:tplc="05C0D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E95EF5"/>
    <w:multiLevelType w:val="hybridMultilevel"/>
    <w:tmpl w:val="8DCC4FEC"/>
    <w:lvl w:ilvl="0" w:tplc="7B9EE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DE9651B"/>
    <w:multiLevelType w:val="hybridMultilevel"/>
    <w:tmpl w:val="B336C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C4A6F4B"/>
    <w:multiLevelType w:val="hybridMultilevel"/>
    <w:tmpl w:val="EE54A1DE"/>
    <w:lvl w:ilvl="0" w:tplc="2932B0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7"/>
  </w:num>
  <w:num w:numId="3">
    <w:abstractNumId w:val="0"/>
  </w:num>
  <w:num w:numId="4">
    <w:abstractNumId w:val="11"/>
  </w:num>
  <w:num w:numId="5">
    <w:abstractNumId w:val="10"/>
  </w:num>
  <w:num w:numId="6">
    <w:abstractNumId w:val="5"/>
  </w:num>
  <w:num w:numId="7">
    <w:abstractNumId w:val="8"/>
  </w:num>
  <w:num w:numId="8">
    <w:abstractNumId w:val="6"/>
  </w:num>
  <w:num w:numId="9">
    <w:abstractNumId w:val="4"/>
  </w:num>
  <w:num w:numId="10">
    <w:abstractNumId w:val="2"/>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B24"/>
    <w:rsid w:val="0001384C"/>
    <w:rsid w:val="00026CC8"/>
    <w:rsid w:val="00051377"/>
    <w:rsid w:val="00062370"/>
    <w:rsid w:val="000816A6"/>
    <w:rsid w:val="00100B24"/>
    <w:rsid w:val="001122F3"/>
    <w:rsid w:val="001456F9"/>
    <w:rsid w:val="00160FE1"/>
    <w:rsid w:val="00281CD9"/>
    <w:rsid w:val="00282D0A"/>
    <w:rsid w:val="002C7532"/>
    <w:rsid w:val="00367169"/>
    <w:rsid w:val="00373D6F"/>
    <w:rsid w:val="003A4316"/>
    <w:rsid w:val="003F3550"/>
    <w:rsid w:val="00404F8E"/>
    <w:rsid w:val="004505A9"/>
    <w:rsid w:val="004E62AE"/>
    <w:rsid w:val="00542E83"/>
    <w:rsid w:val="00570E92"/>
    <w:rsid w:val="00573F4D"/>
    <w:rsid w:val="00591E20"/>
    <w:rsid w:val="00597C31"/>
    <w:rsid w:val="005A59B9"/>
    <w:rsid w:val="00601DE9"/>
    <w:rsid w:val="0062172A"/>
    <w:rsid w:val="00640B6E"/>
    <w:rsid w:val="0066532D"/>
    <w:rsid w:val="006B6189"/>
    <w:rsid w:val="00786153"/>
    <w:rsid w:val="007D25AF"/>
    <w:rsid w:val="007E65E5"/>
    <w:rsid w:val="007F2AA3"/>
    <w:rsid w:val="0081418B"/>
    <w:rsid w:val="0085787E"/>
    <w:rsid w:val="00864F4A"/>
    <w:rsid w:val="009B5B88"/>
    <w:rsid w:val="00A870CF"/>
    <w:rsid w:val="00A87164"/>
    <w:rsid w:val="00AA00C5"/>
    <w:rsid w:val="00AA1A36"/>
    <w:rsid w:val="00AC3E76"/>
    <w:rsid w:val="00B52482"/>
    <w:rsid w:val="00BC5D01"/>
    <w:rsid w:val="00BF4419"/>
    <w:rsid w:val="00CC2441"/>
    <w:rsid w:val="00D40520"/>
    <w:rsid w:val="00D5105B"/>
    <w:rsid w:val="00D55EF0"/>
    <w:rsid w:val="00E16B8D"/>
    <w:rsid w:val="00E252C7"/>
    <w:rsid w:val="00E26C6A"/>
    <w:rsid w:val="00F81724"/>
    <w:rsid w:val="00FC3624"/>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0284AD33"/>
  <w15:docId w15:val="{368B52F0-74F7-4769-AA96-CE9E77BC5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404F8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1695</Words>
  <Characters>9665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González Cañas</dc:creator>
  <cp:lastModifiedBy>jennifer astrid henao murillo</cp:lastModifiedBy>
  <cp:revision>3</cp:revision>
  <dcterms:created xsi:type="dcterms:W3CDTF">2021-02-22T23:15:00Z</dcterms:created>
  <dcterms:modified xsi:type="dcterms:W3CDTF">2021-03-26T00:07:00Z</dcterms:modified>
</cp:coreProperties>
</file>