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>RC-2021-042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874C0" w:rsidRDefault="00EA6FBE" w:rsidP="00E874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6 numerales 2.1,   3.5,   6.3  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7 numerales  11.   3.1                       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9 numeral  3                          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14 numerales 2,  5,  8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16 numeral  7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26 numerales 1,  2,  3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33numeral 6 y la r</w:t>
      </w:r>
      <w:r>
        <w:rPr>
          <w:rFonts w:ascii="Arial" w:hAnsi="Arial" w:cs="Arial"/>
          <w:sz w:val="18"/>
          <w:szCs w:val="16"/>
        </w:rPr>
        <w:t>esolución 5109 de 2005</w:t>
      </w:r>
    </w:p>
    <w:p w:rsidR="006109DA" w:rsidRDefault="006109DA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>PIQUETEADERO LOS ARRAYANES</w:t>
      </w:r>
      <w:r w:rsidR="00E874C0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VEREDA MANZANO KM 18 VIA ARMENIA, con 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34.040.640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MARIA DIONICIA PATIÑO DE ROZO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34.040.640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>JQV0331-21 de junio 16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1C" w:rsidRDefault="008A141C" w:rsidP="00D16048">
      <w:r>
        <w:separator/>
      </w:r>
    </w:p>
  </w:endnote>
  <w:endnote w:type="continuationSeparator" w:id="0">
    <w:p w:rsidR="008A141C" w:rsidRDefault="008A141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1C" w:rsidRDefault="008A141C" w:rsidP="00D16048">
      <w:r>
        <w:separator/>
      </w:r>
    </w:p>
  </w:footnote>
  <w:footnote w:type="continuationSeparator" w:id="0">
    <w:p w:rsidR="008A141C" w:rsidRDefault="008A141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E874C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-2021-042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E874C0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-2021-042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FABA7-37FE-434C-925A-4146BF0A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2021-09-01T18:41:00Z</dcterms:created>
  <dcterms:modified xsi:type="dcterms:W3CDTF">2021-09-01T18:41:00Z</dcterms:modified>
</cp:coreProperties>
</file>