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9A5" w:rsidRDefault="000679A5" w:rsidP="000679A5">
      <w:pPr>
        <w:jc w:val="both"/>
        <w:rPr>
          <w:rFonts w:ascii="Arial" w:hAnsi="Arial" w:cs="Arial"/>
        </w:rPr>
      </w:pPr>
    </w:p>
    <w:p w:rsidR="000679A5" w:rsidRDefault="000679A5" w:rsidP="000679A5">
      <w:pPr>
        <w:jc w:val="both"/>
        <w:rPr>
          <w:rFonts w:ascii="Arial" w:hAnsi="Arial" w:cs="Arial"/>
        </w:rPr>
      </w:pPr>
    </w:p>
    <w:p w:rsidR="000679A5" w:rsidRPr="000436FF" w:rsidRDefault="000679A5" w:rsidP="000679A5">
      <w:pPr>
        <w:jc w:val="both"/>
        <w:rPr>
          <w:rFonts w:ascii="Arial" w:hAnsi="Arial" w:cs="Arial"/>
          <w:sz w:val="36"/>
          <w:szCs w:val="36"/>
        </w:rPr>
      </w:pPr>
      <w:r w:rsidRPr="000436FF">
        <w:rPr>
          <w:rFonts w:ascii="Arial" w:hAnsi="Arial" w:cs="Arial"/>
          <w:sz w:val="36"/>
          <w:szCs w:val="36"/>
        </w:rPr>
        <w:t>EXPLICACI</w:t>
      </w:r>
      <w:r w:rsidR="00765234" w:rsidRPr="000436FF">
        <w:rPr>
          <w:rFonts w:ascii="Arial" w:hAnsi="Arial" w:cs="Arial"/>
          <w:sz w:val="36"/>
          <w:szCs w:val="36"/>
        </w:rPr>
        <w:t>Ó</w:t>
      </w:r>
      <w:r w:rsidRPr="000436FF">
        <w:rPr>
          <w:rFonts w:ascii="Arial" w:hAnsi="Arial" w:cs="Arial"/>
          <w:sz w:val="36"/>
          <w:szCs w:val="36"/>
        </w:rPr>
        <w:t xml:space="preserve">N </w:t>
      </w:r>
      <w:r w:rsidR="00765234" w:rsidRPr="000436FF">
        <w:rPr>
          <w:rFonts w:ascii="Arial" w:hAnsi="Arial" w:cs="Arial"/>
          <w:sz w:val="36"/>
          <w:szCs w:val="36"/>
        </w:rPr>
        <w:t>SOBRE COMPETENCIA DE VISITAS DE IVC A MEDICAMENTOS</w:t>
      </w:r>
      <w:r w:rsidR="00CB07EC">
        <w:rPr>
          <w:rFonts w:ascii="Arial" w:hAnsi="Arial" w:cs="Arial"/>
          <w:sz w:val="36"/>
          <w:szCs w:val="36"/>
        </w:rPr>
        <w:t>.</w:t>
      </w:r>
      <w:r w:rsidR="00765234" w:rsidRPr="000436FF">
        <w:rPr>
          <w:rFonts w:ascii="Arial" w:hAnsi="Arial" w:cs="Arial"/>
          <w:sz w:val="36"/>
          <w:szCs w:val="36"/>
        </w:rPr>
        <w:t xml:space="preserve"> </w:t>
      </w:r>
    </w:p>
    <w:p w:rsidR="00765234" w:rsidRPr="000436FF" w:rsidRDefault="00765234" w:rsidP="000679A5">
      <w:pPr>
        <w:jc w:val="both"/>
        <w:rPr>
          <w:rFonts w:ascii="Arial" w:hAnsi="Arial" w:cs="Arial"/>
          <w:sz w:val="36"/>
          <w:szCs w:val="36"/>
        </w:rPr>
      </w:pPr>
    </w:p>
    <w:p w:rsidR="000679A5" w:rsidRPr="000436FF" w:rsidRDefault="000679A5" w:rsidP="0041072D">
      <w:pPr>
        <w:pStyle w:val="Prrafodelista"/>
        <w:numPr>
          <w:ilvl w:val="0"/>
          <w:numId w:val="1"/>
        </w:numPr>
        <w:jc w:val="both"/>
        <w:rPr>
          <w:rFonts w:ascii="Arial" w:hAnsi="Arial" w:cs="Arial"/>
          <w:sz w:val="36"/>
          <w:szCs w:val="36"/>
        </w:rPr>
      </w:pPr>
      <w:r w:rsidRPr="000436FF">
        <w:rPr>
          <w:rFonts w:ascii="Arial" w:hAnsi="Arial" w:cs="Arial"/>
          <w:sz w:val="36"/>
          <w:szCs w:val="36"/>
        </w:rPr>
        <w:t>Teniendo en cuenta que la secretaría de salud, no tiene dentro de las funciones, realizar IVC en medicamentos, debemos hacer visitas a droguerias o establecimientos similares, es decir en aquellos lugares donde se tengan para la venta medicamentos para el consumo humano?</w:t>
      </w:r>
    </w:p>
    <w:p w:rsidR="00765234" w:rsidRPr="000436FF" w:rsidRDefault="0041072D" w:rsidP="0041072D">
      <w:pPr>
        <w:pStyle w:val="Prrafodelista"/>
        <w:jc w:val="both"/>
        <w:rPr>
          <w:rFonts w:ascii="Arial" w:hAnsi="Arial" w:cs="Arial"/>
          <w:sz w:val="36"/>
          <w:szCs w:val="36"/>
          <w:highlight w:val="yellow"/>
        </w:rPr>
      </w:pPr>
      <w:r w:rsidRPr="000436FF">
        <w:rPr>
          <w:rFonts w:ascii="Arial" w:hAnsi="Arial" w:cs="Arial"/>
          <w:sz w:val="36"/>
          <w:szCs w:val="36"/>
          <w:highlight w:val="yellow"/>
        </w:rPr>
        <w:t xml:space="preserve">R/ SI, las entidades territoriales de salud, </w:t>
      </w:r>
      <w:r w:rsidRPr="000436FF">
        <w:rPr>
          <w:rFonts w:ascii="Arial" w:hAnsi="Arial" w:cs="Arial"/>
          <w:b/>
          <w:sz w:val="36"/>
          <w:szCs w:val="36"/>
          <w:highlight w:val="yellow"/>
          <w:u w:val="single"/>
        </w:rPr>
        <w:t>SÍ tienen funciones de IVC  en los establecimientos  farmaceuticos de su jurisdicción</w:t>
      </w:r>
      <w:bookmarkStart w:id="0" w:name="_GoBack"/>
      <w:bookmarkEnd w:id="0"/>
      <w:r w:rsidRPr="000436FF">
        <w:rPr>
          <w:rFonts w:ascii="Arial" w:hAnsi="Arial" w:cs="Arial"/>
          <w:sz w:val="36"/>
          <w:szCs w:val="36"/>
          <w:highlight w:val="yellow"/>
        </w:rPr>
        <w:t xml:space="preserve"> </w:t>
      </w:r>
    </w:p>
    <w:p w:rsidR="0041072D" w:rsidRPr="000436FF" w:rsidRDefault="00765234" w:rsidP="0041072D">
      <w:pPr>
        <w:pStyle w:val="Prrafodelista"/>
        <w:jc w:val="both"/>
        <w:rPr>
          <w:rFonts w:ascii="Arial" w:hAnsi="Arial" w:cs="Arial"/>
          <w:sz w:val="36"/>
          <w:szCs w:val="36"/>
          <w:highlight w:val="yellow"/>
        </w:rPr>
      </w:pPr>
      <w:r w:rsidRPr="000436FF">
        <w:rPr>
          <w:rFonts w:ascii="Arial" w:hAnsi="Arial" w:cs="Arial"/>
          <w:sz w:val="36"/>
          <w:szCs w:val="36"/>
          <w:highlight w:val="yellow"/>
        </w:rPr>
        <w:t>EL FUNDAMENTO</w:t>
      </w:r>
      <w:r w:rsidR="0041072D" w:rsidRPr="000436FF">
        <w:rPr>
          <w:rFonts w:ascii="Arial" w:hAnsi="Arial" w:cs="Arial"/>
          <w:sz w:val="36"/>
          <w:szCs w:val="36"/>
          <w:highlight w:val="yellow"/>
        </w:rPr>
        <w:t xml:space="preserve"> JURIDICO</w:t>
      </w:r>
    </w:p>
    <w:p w:rsidR="00765234" w:rsidRDefault="00765234" w:rsidP="0041072D">
      <w:pPr>
        <w:pStyle w:val="Prrafodelista"/>
        <w:jc w:val="both"/>
        <w:rPr>
          <w:rFonts w:ascii="Arial" w:hAnsi="Arial" w:cs="Arial"/>
          <w:sz w:val="36"/>
          <w:szCs w:val="36"/>
          <w:highlight w:val="yellow"/>
        </w:rPr>
      </w:pPr>
      <w:r w:rsidRPr="000436FF">
        <w:rPr>
          <w:rFonts w:ascii="Arial" w:hAnsi="Arial" w:cs="Arial"/>
          <w:sz w:val="36"/>
          <w:szCs w:val="36"/>
          <w:highlight w:val="yellow"/>
        </w:rPr>
        <w:t xml:space="preserve">ES EL LITERAL </w:t>
      </w:r>
      <w:r w:rsidR="007D5F32" w:rsidRPr="000436FF">
        <w:rPr>
          <w:rFonts w:ascii="Arial" w:hAnsi="Arial" w:cs="Arial"/>
          <w:sz w:val="36"/>
          <w:szCs w:val="36"/>
          <w:highlight w:val="yellow"/>
        </w:rPr>
        <w:t>b</w:t>
      </w:r>
      <w:r w:rsidRPr="000436FF">
        <w:rPr>
          <w:rFonts w:ascii="Arial" w:hAnsi="Arial" w:cs="Arial"/>
          <w:sz w:val="36"/>
          <w:szCs w:val="36"/>
          <w:highlight w:val="yellow"/>
        </w:rPr>
        <w:t>, DEL NUMERAL 2 DEL ARTICULO 22 DE LA RESOLUCIÓN 1403 DE 2007.</w:t>
      </w:r>
      <w:r w:rsidR="00EF4162" w:rsidRPr="000436FF">
        <w:rPr>
          <w:rFonts w:ascii="Arial" w:hAnsi="Arial" w:cs="Arial"/>
          <w:sz w:val="36"/>
          <w:szCs w:val="36"/>
          <w:highlight w:val="yellow"/>
        </w:rPr>
        <w:t xml:space="preserve"> Leerlo AA</w:t>
      </w:r>
      <w:r w:rsidR="006D7A79">
        <w:rPr>
          <w:rFonts w:ascii="Arial" w:hAnsi="Arial" w:cs="Arial"/>
          <w:sz w:val="36"/>
          <w:szCs w:val="36"/>
          <w:highlight w:val="yellow"/>
        </w:rPr>
        <w:t>.</w:t>
      </w:r>
    </w:p>
    <w:p w:rsidR="006D7A79" w:rsidRPr="000436FF" w:rsidRDefault="006D7A79" w:rsidP="0041072D">
      <w:pPr>
        <w:pStyle w:val="Prrafodelista"/>
        <w:jc w:val="both"/>
        <w:rPr>
          <w:rFonts w:ascii="Arial" w:hAnsi="Arial" w:cs="Arial"/>
          <w:sz w:val="36"/>
          <w:szCs w:val="36"/>
        </w:rPr>
      </w:pPr>
    </w:p>
    <w:p w:rsidR="0041072D" w:rsidRPr="000436FF" w:rsidRDefault="0041072D" w:rsidP="0041072D">
      <w:pPr>
        <w:pStyle w:val="Prrafodelista"/>
        <w:jc w:val="both"/>
        <w:rPr>
          <w:rFonts w:ascii="Arial" w:hAnsi="Arial" w:cs="Arial"/>
          <w:sz w:val="36"/>
          <w:szCs w:val="36"/>
        </w:rPr>
      </w:pPr>
    </w:p>
    <w:p w:rsidR="0041072D" w:rsidRPr="0041072D" w:rsidRDefault="0041072D" w:rsidP="0041072D">
      <w:pPr>
        <w:ind w:left="720"/>
        <w:jc w:val="both"/>
        <w:rPr>
          <w:strike/>
          <w:sz w:val="36"/>
          <w:szCs w:val="36"/>
        </w:rPr>
      </w:pPr>
    </w:p>
    <w:p w:rsidR="00765234" w:rsidRPr="000436FF" w:rsidRDefault="00765234" w:rsidP="00765234">
      <w:pPr>
        <w:pStyle w:val="Prrafodelista"/>
        <w:jc w:val="both"/>
        <w:rPr>
          <w:rFonts w:ascii="Arial" w:hAnsi="Arial" w:cs="Arial"/>
          <w:sz w:val="36"/>
          <w:szCs w:val="36"/>
        </w:rPr>
      </w:pPr>
    </w:p>
    <w:p w:rsidR="000679A5" w:rsidRPr="000436FF" w:rsidRDefault="000679A5" w:rsidP="000679A5">
      <w:pPr>
        <w:pStyle w:val="Prrafodelista"/>
        <w:numPr>
          <w:ilvl w:val="0"/>
          <w:numId w:val="1"/>
        </w:numPr>
        <w:jc w:val="both"/>
        <w:rPr>
          <w:rFonts w:ascii="Arial" w:hAnsi="Arial" w:cs="Arial"/>
          <w:sz w:val="36"/>
          <w:szCs w:val="36"/>
        </w:rPr>
      </w:pPr>
      <w:r w:rsidRPr="000436FF">
        <w:rPr>
          <w:rFonts w:ascii="Arial" w:hAnsi="Arial" w:cs="Arial"/>
          <w:sz w:val="36"/>
          <w:szCs w:val="36"/>
        </w:rPr>
        <w:t xml:space="preserve">Si en una visita de IVC a establecimientos de comercio como </w:t>
      </w:r>
      <w:r w:rsidRPr="000436FF">
        <w:rPr>
          <w:rFonts w:ascii="Arial" w:hAnsi="Arial" w:cs="Arial"/>
          <w:b/>
          <w:sz w:val="36"/>
          <w:szCs w:val="36"/>
          <w:u w:val="single"/>
        </w:rPr>
        <w:t>tienda de barrio o a grandes superficies, o a cualquier otro establecimiento donde tambien venden medicamentos</w:t>
      </w:r>
      <w:r w:rsidR="00423F0F" w:rsidRPr="000436FF">
        <w:rPr>
          <w:rFonts w:ascii="Arial" w:hAnsi="Arial" w:cs="Arial"/>
          <w:sz w:val="36"/>
          <w:szCs w:val="36"/>
        </w:rPr>
        <w:t>,</w:t>
      </w:r>
      <w:r w:rsidRPr="000436FF">
        <w:rPr>
          <w:rFonts w:ascii="Arial" w:hAnsi="Arial" w:cs="Arial"/>
          <w:sz w:val="36"/>
          <w:szCs w:val="36"/>
        </w:rPr>
        <w:t xml:space="preserve"> debemos ampliar nuestra IVC a dichos estans?. </w:t>
      </w:r>
    </w:p>
    <w:p w:rsidR="00423F0F" w:rsidRPr="000436FF" w:rsidRDefault="00423F0F" w:rsidP="00423F0F">
      <w:pPr>
        <w:pStyle w:val="Prrafodelista"/>
        <w:jc w:val="both"/>
        <w:rPr>
          <w:rFonts w:ascii="Arial" w:hAnsi="Arial" w:cs="Arial"/>
          <w:sz w:val="36"/>
          <w:szCs w:val="36"/>
          <w:highlight w:val="yellow"/>
        </w:rPr>
      </w:pPr>
      <w:r w:rsidRPr="000436FF">
        <w:rPr>
          <w:rFonts w:ascii="Arial" w:hAnsi="Arial" w:cs="Arial"/>
          <w:b/>
          <w:sz w:val="36"/>
          <w:szCs w:val="36"/>
          <w:highlight w:val="yellow"/>
        </w:rPr>
        <w:t>R/</w:t>
      </w:r>
      <w:r w:rsidRPr="000436FF">
        <w:rPr>
          <w:rFonts w:ascii="Arial" w:hAnsi="Arial" w:cs="Arial"/>
          <w:sz w:val="36"/>
          <w:szCs w:val="36"/>
          <w:highlight w:val="yellow"/>
        </w:rPr>
        <w:t xml:space="preserve"> Sí, </w:t>
      </w:r>
      <w:r w:rsidR="00EA574C" w:rsidRPr="000436FF">
        <w:rPr>
          <w:rFonts w:ascii="Arial" w:hAnsi="Arial" w:cs="Arial"/>
          <w:sz w:val="36"/>
          <w:szCs w:val="36"/>
          <w:highlight w:val="yellow"/>
        </w:rPr>
        <w:t xml:space="preserve">las competencias de IVC que poseen los entes territoriales en materia de salud se extienden a almacenes </w:t>
      </w:r>
      <w:r w:rsidRPr="000436FF">
        <w:rPr>
          <w:rFonts w:ascii="Arial" w:hAnsi="Arial" w:cs="Arial"/>
          <w:sz w:val="36"/>
          <w:szCs w:val="36"/>
          <w:highlight w:val="yellow"/>
        </w:rPr>
        <w:t>de cadena o grandes superficies</w:t>
      </w:r>
      <w:r w:rsidR="00275D3D" w:rsidRPr="000436FF">
        <w:rPr>
          <w:rFonts w:ascii="Arial" w:hAnsi="Arial" w:cs="Arial"/>
          <w:sz w:val="36"/>
          <w:szCs w:val="36"/>
          <w:highlight w:val="yellow"/>
        </w:rPr>
        <w:t xml:space="preserve"> tal y como lo señala </w:t>
      </w:r>
      <w:r w:rsidR="00EF4162" w:rsidRPr="000436FF">
        <w:rPr>
          <w:rFonts w:ascii="Arial" w:hAnsi="Arial" w:cs="Arial"/>
          <w:sz w:val="36"/>
          <w:szCs w:val="36"/>
          <w:highlight w:val="yellow"/>
        </w:rPr>
        <w:t>en la 1403 de 2007</w:t>
      </w:r>
      <w:r w:rsidR="00275D3D" w:rsidRPr="000436FF">
        <w:rPr>
          <w:rFonts w:ascii="Arial" w:hAnsi="Arial" w:cs="Arial"/>
          <w:sz w:val="36"/>
          <w:szCs w:val="36"/>
          <w:highlight w:val="yellow"/>
        </w:rPr>
        <w:t xml:space="preserve"> art 22 numeral 2 literal b</w:t>
      </w:r>
    </w:p>
    <w:p w:rsidR="00275D3D" w:rsidRPr="000436FF" w:rsidRDefault="00275D3D" w:rsidP="00423F0F">
      <w:pPr>
        <w:pStyle w:val="Prrafodelista"/>
        <w:jc w:val="both"/>
        <w:rPr>
          <w:rFonts w:ascii="Arial" w:hAnsi="Arial" w:cs="Arial"/>
          <w:sz w:val="36"/>
          <w:szCs w:val="36"/>
        </w:rPr>
      </w:pPr>
      <w:r w:rsidRPr="000436FF">
        <w:rPr>
          <w:rFonts w:ascii="Times New Roman" w:eastAsia="Times New Roman" w:hAnsi="Times New Roman" w:cs="Times New Roman"/>
          <w:sz w:val="36"/>
          <w:szCs w:val="36"/>
          <w:highlight w:val="yellow"/>
          <w:u w:val="single"/>
          <w:lang w:eastAsia="es-ES_tradnl"/>
        </w:rPr>
        <w:lastRenderedPageBreak/>
        <w:t>establecimientos  farmacéuticos  que  cumplan con las condiciones esenciales, tales como: depósitos de drogas,  agencias de especialidades farmacéuticas, farmacia</w:t>
      </w:r>
      <w:r w:rsidRPr="000436FF">
        <w:rPr>
          <w:rFonts w:ascii="Times New Roman" w:eastAsia="Times New Roman" w:hAnsi="Times New Roman" w:cs="Times New Roman"/>
          <w:sz w:val="36"/>
          <w:szCs w:val="36"/>
          <w:highlight w:val="yellow"/>
          <w:u w:val="single"/>
          <w:lang w:eastAsia="es-ES_tradnl"/>
        </w:rPr>
        <w:softHyphen/>
        <w:t>droguería y droguería</w:t>
      </w:r>
      <w:r w:rsidRPr="000436FF">
        <w:rPr>
          <w:rFonts w:ascii="Times New Roman" w:eastAsia="Times New Roman" w:hAnsi="Times New Roman" w:cs="Times New Roman"/>
          <w:sz w:val="36"/>
          <w:szCs w:val="36"/>
          <w:highlight w:val="yellow"/>
          <w:u w:val="single"/>
          <w:lang w:eastAsia="es-ES_tradnl"/>
        </w:rPr>
        <w:t xml:space="preserve"> y en atencion  al paragrafo 2 del art 2 campo de aplicación de la resolucion 1403 de 20007. </w:t>
      </w:r>
      <w:r w:rsidR="00EF4162" w:rsidRPr="000436FF">
        <w:rPr>
          <w:rFonts w:ascii="Times New Roman" w:eastAsia="Times New Roman" w:hAnsi="Times New Roman" w:cs="Times New Roman"/>
          <w:sz w:val="36"/>
          <w:szCs w:val="36"/>
          <w:highlight w:val="yellow"/>
          <w:u w:val="single"/>
          <w:lang w:eastAsia="es-ES_tradnl"/>
        </w:rPr>
        <w:t>LEER AAA</w:t>
      </w:r>
    </w:p>
    <w:p w:rsidR="00275D3D" w:rsidRPr="000436FF" w:rsidRDefault="00275D3D" w:rsidP="006C5D00">
      <w:pPr>
        <w:pStyle w:val="Prrafodelista"/>
        <w:jc w:val="both"/>
        <w:rPr>
          <w:rFonts w:ascii="Arial" w:hAnsi="Arial" w:cs="Arial"/>
          <w:b/>
          <w:sz w:val="36"/>
          <w:szCs w:val="36"/>
        </w:rPr>
      </w:pPr>
    </w:p>
    <w:p w:rsidR="00423F0F" w:rsidRPr="000436FF" w:rsidRDefault="00423F0F" w:rsidP="00275D3D">
      <w:pPr>
        <w:jc w:val="both"/>
        <w:rPr>
          <w:rFonts w:ascii="Arial" w:hAnsi="Arial" w:cs="Arial"/>
          <w:sz w:val="36"/>
          <w:szCs w:val="36"/>
        </w:rPr>
      </w:pPr>
    </w:p>
    <w:p w:rsidR="00423F0F" w:rsidRPr="000436FF" w:rsidRDefault="00423F0F" w:rsidP="00423F0F">
      <w:pPr>
        <w:pStyle w:val="Prrafodelista"/>
        <w:jc w:val="both"/>
        <w:rPr>
          <w:rFonts w:ascii="Arial" w:hAnsi="Arial" w:cs="Arial"/>
          <w:sz w:val="36"/>
          <w:szCs w:val="36"/>
        </w:rPr>
      </w:pPr>
    </w:p>
    <w:p w:rsidR="000679A5" w:rsidRPr="000436FF" w:rsidRDefault="000679A5" w:rsidP="000679A5">
      <w:pPr>
        <w:pStyle w:val="Prrafodelista"/>
        <w:numPr>
          <w:ilvl w:val="0"/>
          <w:numId w:val="1"/>
        </w:numPr>
        <w:jc w:val="both"/>
        <w:rPr>
          <w:rFonts w:ascii="Arial" w:hAnsi="Arial" w:cs="Arial"/>
          <w:sz w:val="36"/>
          <w:szCs w:val="36"/>
        </w:rPr>
      </w:pPr>
      <w:r w:rsidRPr="000436FF">
        <w:rPr>
          <w:rFonts w:ascii="Arial" w:hAnsi="Arial" w:cs="Arial"/>
          <w:sz w:val="36"/>
          <w:szCs w:val="36"/>
        </w:rPr>
        <w:t>De encontrar medicamentos vencidos en un establecimiento que se visita por factores de riergo en alimentos de consumo humano,  como secretaria de salud municipal, tenemos competencias para que los tecnicos realicen IVC, a dichos productos, según el artículo 44 de la Ley 715 de 2001 “competencia de los municipios”?.</w:t>
      </w:r>
    </w:p>
    <w:p w:rsidR="00EA574C" w:rsidRPr="000436FF" w:rsidRDefault="00EF4162" w:rsidP="00EF4162">
      <w:pPr>
        <w:pStyle w:val="Prrafodelista"/>
        <w:jc w:val="both"/>
        <w:rPr>
          <w:rFonts w:ascii="Arial" w:hAnsi="Arial" w:cs="Arial"/>
          <w:sz w:val="36"/>
          <w:szCs w:val="36"/>
          <w:highlight w:val="yellow"/>
        </w:rPr>
      </w:pPr>
      <w:r w:rsidRPr="000436FF">
        <w:rPr>
          <w:rFonts w:ascii="Arial" w:hAnsi="Arial" w:cs="Arial"/>
          <w:sz w:val="36"/>
          <w:szCs w:val="36"/>
          <w:highlight w:val="yellow"/>
        </w:rPr>
        <w:t xml:space="preserve">R/ SI,  las competencias de IVC atribuye a las entidades territoriales </w:t>
      </w:r>
      <w:r w:rsidR="00EA574C" w:rsidRPr="000436FF">
        <w:rPr>
          <w:rFonts w:ascii="Arial" w:hAnsi="Arial" w:cs="Arial"/>
          <w:sz w:val="36"/>
          <w:szCs w:val="36"/>
          <w:highlight w:val="yellow"/>
        </w:rPr>
        <w:t xml:space="preserve">, las secretarias de salud mpal deberan adelantar las funciones de IVC a los medicamentos vencidos hallados en lugares en donde se realicen visitas por otros factores y ademas, deberan informar a las demas autoridades en materia de salud que corespondan. </w:t>
      </w:r>
    </w:p>
    <w:p w:rsidR="00275D3D" w:rsidRPr="000436FF" w:rsidRDefault="00EA574C" w:rsidP="00EF4162">
      <w:pPr>
        <w:pStyle w:val="Prrafodelista"/>
        <w:jc w:val="both"/>
        <w:rPr>
          <w:rFonts w:ascii="Arial" w:hAnsi="Arial" w:cs="Arial"/>
          <w:sz w:val="36"/>
          <w:szCs w:val="36"/>
        </w:rPr>
      </w:pPr>
      <w:r w:rsidRPr="000436FF">
        <w:rPr>
          <w:rFonts w:ascii="Arial" w:hAnsi="Arial" w:cs="Arial"/>
          <w:sz w:val="36"/>
          <w:szCs w:val="36"/>
          <w:highlight w:val="yellow"/>
        </w:rPr>
        <w:t xml:space="preserve">Resolucion </w:t>
      </w:r>
      <w:r w:rsidR="00EF4162" w:rsidRPr="000436FF">
        <w:rPr>
          <w:rFonts w:ascii="Arial" w:hAnsi="Arial" w:cs="Arial"/>
          <w:sz w:val="36"/>
          <w:szCs w:val="36"/>
          <w:highlight w:val="yellow"/>
        </w:rPr>
        <w:t>1403 de 2007 art 22 numeral 2 literal b</w:t>
      </w:r>
      <w:r w:rsidR="00EF4162" w:rsidRPr="000436FF">
        <w:rPr>
          <w:rFonts w:ascii="Arial" w:hAnsi="Arial" w:cs="Arial"/>
          <w:sz w:val="36"/>
          <w:szCs w:val="36"/>
          <w:highlight w:val="yellow"/>
        </w:rPr>
        <w:t>, la Resolucion 1403 de 2007 art 2 paragrafo 2 señala. Leer AAAA</w:t>
      </w:r>
    </w:p>
    <w:p w:rsidR="00275D3D" w:rsidRPr="000436FF" w:rsidRDefault="00275D3D" w:rsidP="00275D3D">
      <w:pPr>
        <w:pStyle w:val="Prrafodelista"/>
        <w:jc w:val="both"/>
        <w:rPr>
          <w:rFonts w:ascii="Arial" w:hAnsi="Arial" w:cs="Arial"/>
          <w:sz w:val="36"/>
          <w:szCs w:val="36"/>
        </w:rPr>
      </w:pPr>
    </w:p>
    <w:p w:rsidR="00275D3D" w:rsidRPr="000436FF" w:rsidRDefault="00275D3D" w:rsidP="00EA574C">
      <w:pPr>
        <w:jc w:val="both"/>
        <w:rPr>
          <w:rFonts w:ascii="Arial" w:hAnsi="Arial" w:cs="Arial"/>
          <w:sz w:val="36"/>
          <w:szCs w:val="36"/>
        </w:rPr>
      </w:pPr>
    </w:p>
    <w:p w:rsidR="00275D3D" w:rsidRPr="000436FF" w:rsidRDefault="00275D3D" w:rsidP="00275D3D">
      <w:pPr>
        <w:pStyle w:val="Prrafodelista"/>
        <w:jc w:val="both"/>
        <w:rPr>
          <w:rFonts w:ascii="Arial" w:hAnsi="Arial" w:cs="Arial"/>
          <w:sz w:val="36"/>
          <w:szCs w:val="36"/>
        </w:rPr>
      </w:pPr>
    </w:p>
    <w:p w:rsidR="000679A5" w:rsidRPr="000436FF" w:rsidRDefault="000679A5" w:rsidP="000679A5">
      <w:pPr>
        <w:pStyle w:val="Prrafodelista"/>
        <w:numPr>
          <w:ilvl w:val="0"/>
          <w:numId w:val="1"/>
        </w:numPr>
        <w:jc w:val="both"/>
        <w:rPr>
          <w:rFonts w:ascii="Arial" w:hAnsi="Arial" w:cs="Arial"/>
          <w:sz w:val="36"/>
          <w:szCs w:val="36"/>
        </w:rPr>
      </w:pPr>
      <w:r w:rsidRPr="000436FF">
        <w:rPr>
          <w:rFonts w:ascii="Arial" w:hAnsi="Arial" w:cs="Arial"/>
          <w:sz w:val="36"/>
          <w:szCs w:val="36"/>
        </w:rPr>
        <w:lastRenderedPageBreak/>
        <w:t>El alcance de las palabras “</w:t>
      </w:r>
      <w:r w:rsidRPr="000436FF">
        <w:rPr>
          <w:rFonts w:ascii="Arial" w:hAnsi="Arial" w:cs="Arial"/>
          <w:b/>
          <w:sz w:val="36"/>
          <w:szCs w:val="36"/>
        </w:rPr>
        <w:t>entre otros</w:t>
      </w:r>
      <w:r w:rsidRPr="000436FF">
        <w:rPr>
          <w:rFonts w:ascii="Arial" w:hAnsi="Arial" w:cs="Arial"/>
          <w:sz w:val="36"/>
          <w:szCs w:val="36"/>
        </w:rPr>
        <w:t xml:space="preserve">”, que se encuentra al final del articulo 44.3.5 de la Ley 715 de 2001, permite incluir a las droguerias o establecimientos comerciales donde se venden medicamentos, y estamos obligados a realizarles I.V.C.? </w:t>
      </w:r>
    </w:p>
    <w:p w:rsidR="000679A5" w:rsidRPr="000436FF" w:rsidRDefault="000679A5" w:rsidP="000679A5">
      <w:pPr>
        <w:pStyle w:val="NormalWeb"/>
        <w:ind w:left="708"/>
        <w:jc w:val="both"/>
        <w:rPr>
          <w:rFonts w:ascii="Arial" w:hAnsi="Arial" w:cs="Arial"/>
          <w:i/>
          <w:sz w:val="36"/>
          <w:szCs w:val="36"/>
        </w:rPr>
      </w:pPr>
      <w:r w:rsidRPr="000436FF">
        <w:rPr>
          <w:rFonts w:ascii="Arial" w:hAnsi="Arial" w:cs="Arial"/>
          <w:i/>
          <w:sz w:val="36"/>
          <w:szCs w:val="36"/>
        </w:rPr>
        <w:t xml:space="preserve">“44.3.5. Ejercer vigilancia y control sanitario en su jurisdicción, sobre los factores de riesgo para la salud, en los establecimientos y espacios que puedan generar riesgos para la población, tales como establecimientos educativos, hospitales, cárceles, cuarteles, albergues, guarderías, ancianatos, puertos, aeropuertos y terminales terrestres, transporte público, piscinas, estadios, coliseos, gimnasios, bares, tabernas, supermercados y similares, plazas de mercado, de abasto público y plantas de sacrificio de animales, </w:t>
      </w:r>
      <w:r w:rsidRPr="000436FF">
        <w:rPr>
          <w:rFonts w:ascii="Arial" w:hAnsi="Arial" w:cs="Arial"/>
          <w:b/>
          <w:i/>
          <w:sz w:val="36"/>
          <w:szCs w:val="36"/>
        </w:rPr>
        <w:t>entre otros”</w:t>
      </w:r>
      <w:r w:rsidRPr="000436FF">
        <w:rPr>
          <w:rFonts w:ascii="Arial" w:hAnsi="Arial" w:cs="Arial"/>
          <w:i/>
          <w:sz w:val="36"/>
          <w:szCs w:val="36"/>
        </w:rPr>
        <w:t xml:space="preserve">. </w:t>
      </w:r>
    </w:p>
    <w:p w:rsidR="00EA574C" w:rsidRPr="000436FF" w:rsidRDefault="00EA574C" w:rsidP="000679A5">
      <w:pPr>
        <w:pStyle w:val="NormalWeb"/>
        <w:ind w:left="708"/>
        <w:jc w:val="both"/>
        <w:rPr>
          <w:sz w:val="36"/>
          <w:szCs w:val="36"/>
        </w:rPr>
      </w:pPr>
      <w:r w:rsidRPr="000436FF">
        <w:rPr>
          <w:sz w:val="36"/>
          <w:szCs w:val="36"/>
          <w:highlight w:val="yellow"/>
        </w:rPr>
        <w:t xml:space="preserve">R/ </w:t>
      </w:r>
      <w:r w:rsidR="004725AC" w:rsidRPr="000436FF">
        <w:rPr>
          <w:sz w:val="36"/>
          <w:szCs w:val="36"/>
          <w:highlight w:val="yellow"/>
        </w:rPr>
        <w:t>Las entidades territoriales tienen funciónes de ICV  respecto de los establecimientos que puntualmente refiere la norma.</w:t>
      </w:r>
      <w:r w:rsidR="004725AC" w:rsidRPr="000436FF">
        <w:rPr>
          <w:sz w:val="36"/>
          <w:szCs w:val="36"/>
        </w:rPr>
        <w:t xml:space="preserve"> </w:t>
      </w:r>
    </w:p>
    <w:p w:rsidR="004725AC" w:rsidRPr="000436FF" w:rsidRDefault="004725AC" w:rsidP="00CD00AB">
      <w:pPr>
        <w:shd w:val="clear" w:color="auto" w:fill="FFFFFF"/>
        <w:spacing w:after="100" w:afterAutospacing="1"/>
        <w:ind w:firstLine="708"/>
        <w:jc w:val="both"/>
        <w:rPr>
          <w:rFonts w:ascii="Arial" w:hAnsi="Arial" w:cs="Arial"/>
          <w:color w:val="333333"/>
          <w:sz w:val="36"/>
          <w:szCs w:val="36"/>
        </w:rPr>
      </w:pPr>
      <w:r w:rsidRPr="000436FF">
        <w:rPr>
          <w:rFonts w:ascii="Arial" w:hAnsi="Arial" w:cs="Arial"/>
          <w:sz w:val="36"/>
          <w:szCs w:val="36"/>
          <w:highlight w:val="yellow"/>
        </w:rPr>
        <w:t>Resolucion 1403 de 2007 art 22 numeral 2 literal b</w:t>
      </w:r>
      <w:r w:rsidRPr="000436FF">
        <w:rPr>
          <w:rFonts w:ascii="Arial" w:hAnsi="Arial" w:cs="Arial"/>
          <w:sz w:val="36"/>
          <w:szCs w:val="36"/>
          <w:highlight w:val="yellow"/>
        </w:rPr>
        <w:t>.</w:t>
      </w:r>
    </w:p>
    <w:p w:rsidR="004725AC" w:rsidRPr="006C5D00" w:rsidRDefault="004725AC" w:rsidP="004725AC">
      <w:pPr>
        <w:shd w:val="clear" w:color="auto" w:fill="FFFFFF"/>
        <w:spacing w:after="100" w:afterAutospacing="1"/>
        <w:ind w:left="1416"/>
        <w:jc w:val="both"/>
        <w:rPr>
          <w:rFonts w:ascii="Arial" w:hAnsi="Arial" w:cs="Arial"/>
          <w:color w:val="333333"/>
          <w:sz w:val="36"/>
          <w:szCs w:val="36"/>
        </w:rPr>
      </w:pPr>
    </w:p>
    <w:p w:rsidR="004725AC" w:rsidRPr="000436FF" w:rsidRDefault="004725AC" w:rsidP="000679A5">
      <w:pPr>
        <w:pStyle w:val="NormalWeb"/>
        <w:ind w:left="708"/>
        <w:jc w:val="both"/>
        <w:rPr>
          <w:sz w:val="36"/>
          <w:szCs w:val="36"/>
        </w:rPr>
      </w:pPr>
    </w:p>
    <w:p w:rsidR="004725AC" w:rsidRPr="000436FF" w:rsidRDefault="004725AC" w:rsidP="000679A5">
      <w:pPr>
        <w:pStyle w:val="NormalWeb"/>
        <w:ind w:left="708"/>
        <w:jc w:val="both"/>
        <w:rPr>
          <w:sz w:val="36"/>
          <w:szCs w:val="36"/>
        </w:rPr>
      </w:pPr>
    </w:p>
    <w:p w:rsidR="000679A5" w:rsidRPr="000436FF" w:rsidRDefault="000679A5" w:rsidP="000679A5">
      <w:pPr>
        <w:pStyle w:val="Prrafodelista"/>
        <w:numPr>
          <w:ilvl w:val="0"/>
          <w:numId w:val="1"/>
        </w:numPr>
        <w:jc w:val="both"/>
        <w:rPr>
          <w:rFonts w:ascii="Arial" w:hAnsi="Arial" w:cs="Arial"/>
          <w:sz w:val="36"/>
          <w:szCs w:val="36"/>
        </w:rPr>
      </w:pPr>
      <w:r w:rsidRPr="000436FF">
        <w:rPr>
          <w:rFonts w:ascii="Arial" w:hAnsi="Arial" w:cs="Arial"/>
          <w:sz w:val="36"/>
          <w:szCs w:val="36"/>
        </w:rPr>
        <w:lastRenderedPageBreak/>
        <w:t xml:space="preserve">Teniendo en cuenta la Circular 039 de 2016 , expedida por el Ministerio de Salud, donde se establece unos lineamientos para la articulación y coordinación de las actividades de IVC </w:t>
      </w:r>
      <w:r w:rsidRPr="000436FF">
        <w:rPr>
          <w:rFonts w:ascii="Arial" w:hAnsi="Arial" w:cs="Arial"/>
          <w:b/>
          <w:sz w:val="36"/>
          <w:szCs w:val="36"/>
          <w:u w:val="single"/>
        </w:rPr>
        <w:t>relacionadas con medicamentos de uso y consumo humano</w:t>
      </w:r>
      <w:r w:rsidRPr="000436FF">
        <w:rPr>
          <w:rFonts w:ascii="Arial" w:hAnsi="Arial" w:cs="Arial"/>
          <w:sz w:val="36"/>
          <w:szCs w:val="36"/>
        </w:rPr>
        <w:t>; indicando que ademas de las actividades señaladas en el art. 18 y 19 de la ley 1229 de 2013, se deberá:</w:t>
      </w:r>
    </w:p>
    <w:p w:rsidR="000679A5" w:rsidRPr="000436FF" w:rsidRDefault="000679A5" w:rsidP="000679A5">
      <w:pPr>
        <w:pStyle w:val="Prrafodelista"/>
        <w:numPr>
          <w:ilvl w:val="1"/>
          <w:numId w:val="1"/>
        </w:numPr>
        <w:jc w:val="both"/>
        <w:rPr>
          <w:rFonts w:ascii="Arial" w:hAnsi="Arial" w:cs="Arial"/>
          <w:strike/>
          <w:sz w:val="36"/>
          <w:szCs w:val="36"/>
        </w:rPr>
      </w:pPr>
      <w:r w:rsidRPr="000436FF">
        <w:rPr>
          <w:rFonts w:ascii="Arial" w:hAnsi="Arial" w:cs="Arial"/>
          <w:strike/>
          <w:sz w:val="36"/>
          <w:szCs w:val="36"/>
        </w:rPr>
        <w:t xml:space="preserve">– 5.1, 5.2, </w:t>
      </w:r>
    </w:p>
    <w:p w:rsidR="000679A5" w:rsidRPr="000436FF" w:rsidRDefault="000679A5" w:rsidP="000679A5">
      <w:pPr>
        <w:pStyle w:val="Prrafodelista"/>
        <w:numPr>
          <w:ilvl w:val="1"/>
          <w:numId w:val="1"/>
        </w:numPr>
        <w:jc w:val="both"/>
        <w:rPr>
          <w:rFonts w:ascii="Arial" w:hAnsi="Arial" w:cs="Arial"/>
          <w:strike/>
          <w:sz w:val="36"/>
          <w:szCs w:val="36"/>
        </w:rPr>
      </w:pPr>
      <w:r w:rsidRPr="000436FF">
        <w:rPr>
          <w:rFonts w:ascii="Arial" w:hAnsi="Arial" w:cs="Arial"/>
          <w:strike/>
          <w:sz w:val="36"/>
          <w:szCs w:val="36"/>
        </w:rPr>
        <w:t xml:space="preserve">se debe entender que ésta secretaría de salud municipal, debe realzar atividades de IVC a las  droguerias o puntos ubicados en supermercados o establecimientos de grandes superficies donde venden medicamentos? </w:t>
      </w:r>
    </w:p>
    <w:p w:rsidR="000436FF" w:rsidRDefault="000436FF" w:rsidP="000436FF">
      <w:pPr>
        <w:ind w:left="708"/>
        <w:jc w:val="both"/>
        <w:rPr>
          <w:rFonts w:ascii="Arial" w:hAnsi="Arial" w:cs="Arial"/>
          <w:sz w:val="36"/>
          <w:szCs w:val="36"/>
        </w:rPr>
      </w:pPr>
      <w:r>
        <w:rPr>
          <w:rFonts w:ascii="Arial" w:hAnsi="Arial" w:cs="Arial"/>
          <w:sz w:val="36"/>
          <w:szCs w:val="36"/>
        </w:rPr>
        <w:t>R/ los entes territoriales tienen competencias de IVC sobre establecimientos farmaceuticos que cumplan con las condiciones esenciales , tales como deposito de drogas, agencias de especialidades farmaceuticas, farmacias-drogueria, dogueria.</w:t>
      </w:r>
    </w:p>
    <w:p w:rsidR="000436FF" w:rsidRDefault="000436FF" w:rsidP="000436FF">
      <w:pPr>
        <w:ind w:left="708" w:firstLine="708"/>
        <w:jc w:val="both"/>
        <w:rPr>
          <w:rFonts w:ascii="Arial" w:hAnsi="Arial" w:cs="Arial"/>
          <w:sz w:val="36"/>
          <w:szCs w:val="36"/>
        </w:rPr>
      </w:pPr>
      <w:r>
        <w:rPr>
          <w:rFonts w:ascii="Arial" w:hAnsi="Arial" w:cs="Arial"/>
          <w:sz w:val="36"/>
          <w:szCs w:val="36"/>
        </w:rPr>
        <w:t xml:space="preserve">Fudamento legal </w:t>
      </w:r>
    </w:p>
    <w:p w:rsidR="000436FF" w:rsidRPr="00B2285C" w:rsidRDefault="000436FF" w:rsidP="000436FF">
      <w:pPr>
        <w:ind w:left="1416"/>
        <w:jc w:val="both"/>
        <w:rPr>
          <w:sz w:val="28"/>
          <w:szCs w:val="28"/>
        </w:rPr>
      </w:pPr>
      <w:r w:rsidRPr="000436FF">
        <w:rPr>
          <w:rFonts w:ascii="Arial" w:hAnsi="Arial" w:cs="Arial"/>
          <w:sz w:val="36"/>
          <w:szCs w:val="36"/>
          <w:highlight w:val="yellow"/>
        </w:rPr>
        <w:t>Resolucion 1403</w:t>
      </w:r>
      <w:r w:rsidRPr="000436FF">
        <w:rPr>
          <w:rFonts w:ascii="Arial" w:hAnsi="Arial" w:cs="Arial"/>
          <w:highlight w:val="yellow"/>
        </w:rPr>
        <w:t xml:space="preserve"> de 2007 art 2 paragrafo 2 señala leer AAAAAA</w:t>
      </w:r>
    </w:p>
    <w:p w:rsidR="000679A5" w:rsidRPr="000436FF" w:rsidRDefault="000436FF" w:rsidP="000436FF">
      <w:pPr>
        <w:ind w:left="708" w:firstLine="708"/>
        <w:jc w:val="both"/>
        <w:rPr>
          <w:rFonts w:ascii="Arial" w:hAnsi="Arial" w:cs="Arial"/>
          <w:sz w:val="36"/>
          <w:szCs w:val="36"/>
        </w:rPr>
      </w:pPr>
      <w:r>
        <w:rPr>
          <w:rFonts w:ascii="Arial" w:hAnsi="Arial" w:cs="Arial"/>
          <w:sz w:val="36"/>
          <w:szCs w:val="36"/>
        </w:rPr>
        <w:t xml:space="preserve">  </w:t>
      </w:r>
    </w:p>
    <w:p w:rsidR="00CD00AB" w:rsidRPr="000436FF" w:rsidRDefault="00CD00AB" w:rsidP="00CD00AB">
      <w:pPr>
        <w:pStyle w:val="NormalWeb"/>
        <w:shd w:val="clear" w:color="auto" w:fill="FFFFFF"/>
        <w:spacing w:before="0" w:beforeAutospacing="0"/>
        <w:ind w:left="1416"/>
        <w:jc w:val="both"/>
        <w:rPr>
          <w:rFonts w:ascii="Arial" w:eastAsia="Times New Roman" w:hAnsi="Arial" w:cs="Arial"/>
          <w:color w:val="333333"/>
          <w:sz w:val="36"/>
          <w:szCs w:val="36"/>
          <w:highlight w:val="yellow"/>
          <w:lang w:eastAsia="es-ES_tradnl"/>
        </w:rPr>
      </w:pPr>
      <w:r w:rsidRPr="000436FF">
        <w:rPr>
          <w:rFonts w:ascii="Arial" w:hAnsi="Arial" w:cs="Arial"/>
          <w:sz w:val="36"/>
          <w:szCs w:val="36"/>
          <w:highlight w:val="yellow"/>
        </w:rPr>
        <w:t xml:space="preserve">-Art 1 del decreto 3050 de 2005 </w:t>
      </w:r>
      <w:r w:rsidRPr="000436FF">
        <w:rPr>
          <w:rFonts w:ascii="Arial" w:eastAsia="Times New Roman" w:hAnsi="Arial" w:cs="Arial"/>
          <w:b/>
          <w:bCs/>
          <w:color w:val="333333"/>
          <w:sz w:val="36"/>
          <w:szCs w:val="36"/>
          <w:highlight w:val="yellow"/>
          <w:lang w:eastAsia="es-ES_tradnl"/>
        </w:rPr>
        <w:t>Artículo 1°.</w:t>
      </w:r>
      <w:r w:rsidRPr="000436FF">
        <w:rPr>
          <w:rFonts w:ascii="Arial" w:eastAsia="Times New Roman" w:hAnsi="Arial" w:cs="Arial"/>
          <w:color w:val="333333"/>
          <w:sz w:val="36"/>
          <w:szCs w:val="36"/>
          <w:highlight w:val="yellow"/>
          <w:lang w:eastAsia="es-ES_tradnl"/>
        </w:rPr>
        <w:t> </w:t>
      </w:r>
      <w:r w:rsidRPr="000436FF">
        <w:rPr>
          <w:rFonts w:ascii="Arial" w:eastAsia="Times New Roman" w:hAnsi="Arial" w:cs="Arial"/>
          <w:i/>
          <w:iCs/>
          <w:color w:val="333333"/>
          <w:sz w:val="36"/>
          <w:szCs w:val="36"/>
          <w:highlight w:val="yellow"/>
          <w:lang w:eastAsia="es-ES_tradnl"/>
        </w:rPr>
        <w:t>Del expendio de los medicamentos.</w:t>
      </w:r>
      <w:r w:rsidRPr="000436FF">
        <w:rPr>
          <w:rFonts w:ascii="Arial" w:eastAsia="Times New Roman" w:hAnsi="Arial" w:cs="Arial"/>
          <w:color w:val="333333"/>
          <w:sz w:val="36"/>
          <w:szCs w:val="36"/>
          <w:highlight w:val="yellow"/>
          <w:lang w:eastAsia="es-ES_tradnl"/>
        </w:rPr>
        <w:t> Los medicamentos que requieran para su venta de la fórmula facultativa, solo se podrán expender en droguerías y farmacias-droguerías.</w:t>
      </w:r>
    </w:p>
    <w:p w:rsidR="00CD00AB" w:rsidRDefault="00CD00AB" w:rsidP="00CD00AB">
      <w:pPr>
        <w:shd w:val="clear" w:color="auto" w:fill="FFFFFF"/>
        <w:spacing w:after="100" w:afterAutospacing="1"/>
        <w:ind w:left="1416"/>
        <w:jc w:val="both"/>
        <w:rPr>
          <w:rFonts w:ascii="Arial" w:hAnsi="Arial" w:cs="Arial"/>
          <w:color w:val="333333"/>
          <w:sz w:val="36"/>
          <w:szCs w:val="36"/>
          <w:highlight w:val="yellow"/>
        </w:rPr>
      </w:pPr>
      <w:r w:rsidRPr="006C5D00">
        <w:rPr>
          <w:rFonts w:ascii="Arial" w:hAnsi="Arial" w:cs="Arial"/>
          <w:b/>
          <w:color w:val="333333"/>
          <w:sz w:val="36"/>
          <w:szCs w:val="36"/>
          <w:highlight w:val="yellow"/>
          <w:u w:val="single"/>
        </w:rPr>
        <w:t xml:space="preserve">Los medicamentos de venta libre o de venta sin fórmula facultativa, se podrán expender, </w:t>
      </w:r>
      <w:r w:rsidRPr="006C5D00">
        <w:rPr>
          <w:rFonts w:ascii="Arial" w:hAnsi="Arial" w:cs="Arial"/>
          <w:b/>
          <w:color w:val="333333"/>
          <w:sz w:val="36"/>
          <w:szCs w:val="36"/>
          <w:highlight w:val="yellow"/>
          <w:u w:val="single"/>
        </w:rPr>
        <w:lastRenderedPageBreak/>
        <w:t>además de los establecimientos antes citados, en almacenes de cadena o de grandes superficies por departamentos y en otros establecimientos comerciales</w:t>
      </w:r>
      <w:r w:rsidRPr="006C5D00">
        <w:rPr>
          <w:rFonts w:ascii="Arial" w:hAnsi="Arial" w:cs="Arial"/>
          <w:color w:val="333333"/>
          <w:sz w:val="36"/>
          <w:szCs w:val="36"/>
          <w:highlight w:val="yellow"/>
        </w:rPr>
        <w:t xml:space="preserve"> que cumplan con las Buenas Prácticas de Abastecimiento expedidas por el Ministerio de la Protección Social.</w:t>
      </w:r>
    </w:p>
    <w:p w:rsidR="000436FF" w:rsidRPr="000436FF" w:rsidRDefault="000436FF" w:rsidP="00CD00AB">
      <w:pPr>
        <w:shd w:val="clear" w:color="auto" w:fill="FFFFFF"/>
        <w:spacing w:after="100" w:afterAutospacing="1"/>
        <w:ind w:left="1416"/>
        <w:jc w:val="both"/>
        <w:rPr>
          <w:rFonts w:ascii="Arial" w:hAnsi="Arial" w:cs="Arial"/>
          <w:color w:val="333333"/>
          <w:sz w:val="36"/>
          <w:szCs w:val="36"/>
        </w:rPr>
      </w:pPr>
      <w:r>
        <w:rPr>
          <w:rFonts w:ascii="Arial" w:hAnsi="Arial" w:cs="Arial"/>
          <w:color w:val="333333"/>
          <w:sz w:val="36"/>
          <w:szCs w:val="36"/>
        </w:rPr>
        <w:t>R/</w:t>
      </w:r>
      <w:r w:rsidRPr="000436FF">
        <w:rPr>
          <w:rFonts w:ascii="Arial" w:hAnsi="Arial" w:cs="Arial"/>
          <w:color w:val="333333"/>
          <w:sz w:val="36"/>
          <w:szCs w:val="36"/>
        </w:rPr>
        <w:t>Las competencias de ivc que poseen los entes territoriales  en materia de salud  se extienden tambien a almacenes  de cadena y grandes superficies</w:t>
      </w:r>
    </w:p>
    <w:sectPr w:rsidR="000436FF" w:rsidRPr="000436FF"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A2E63"/>
    <w:multiLevelType w:val="hybridMultilevel"/>
    <w:tmpl w:val="7C9AAE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5C"/>
    <w:rsid w:val="000436FF"/>
    <w:rsid w:val="000679A5"/>
    <w:rsid w:val="00275D3D"/>
    <w:rsid w:val="002A5C25"/>
    <w:rsid w:val="0041072D"/>
    <w:rsid w:val="00423F0F"/>
    <w:rsid w:val="004725AC"/>
    <w:rsid w:val="00475572"/>
    <w:rsid w:val="004B6BB3"/>
    <w:rsid w:val="00541820"/>
    <w:rsid w:val="006C5D00"/>
    <w:rsid w:val="006D7A79"/>
    <w:rsid w:val="00765234"/>
    <w:rsid w:val="007710D5"/>
    <w:rsid w:val="007D5F32"/>
    <w:rsid w:val="008F2CE3"/>
    <w:rsid w:val="00B2285C"/>
    <w:rsid w:val="00CB07EC"/>
    <w:rsid w:val="00CD00AB"/>
    <w:rsid w:val="00E535B3"/>
    <w:rsid w:val="00E55499"/>
    <w:rsid w:val="00EA574C"/>
    <w:rsid w:val="00EC127A"/>
    <w:rsid w:val="00EF4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587A"/>
  <w15:chartTrackingRefBased/>
  <w15:docId w15:val="{2F9C48D9-CC9B-B243-8AAA-588AA67F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D3D"/>
    <w:rPr>
      <w:rFonts w:ascii="Times New Roman" w:eastAsia="Times New Roman" w:hAnsi="Times New Roman" w:cs="Times New Roman"/>
      <w:lang w:eastAsia="es-ES_tradnl"/>
    </w:rPr>
  </w:style>
  <w:style w:type="paragraph" w:styleId="Ttulo1">
    <w:name w:val="heading 1"/>
    <w:basedOn w:val="Normal"/>
    <w:link w:val="Ttulo1Car"/>
    <w:uiPriority w:val="9"/>
    <w:qFormat/>
    <w:rsid w:val="00B2285C"/>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85C"/>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semiHidden/>
    <w:unhideWhenUsed/>
    <w:rsid w:val="00B2285C"/>
    <w:rPr>
      <w:color w:val="0000FF"/>
      <w:u w:val="single"/>
    </w:rPr>
  </w:style>
  <w:style w:type="paragraph" w:styleId="NormalWeb">
    <w:name w:val="Normal (Web)"/>
    <w:basedOn w:val="Normal"/>
    <w:uiPriority w:val="99"/>
    <w:semiHidden/>
    <w:unhideWhenUsed/>
    <w:rsid w:val="000679A5"/>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679A5"/>
    <w:pPr>
      <w:ind w:left="720"/>
      <w:contextualSpacing/>
    </w:pPr>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0407">
      <w:bodyDiv w:val="1"/>
      <w:marLeft w:val="0"/>
      <w:marRight w:val="0"/>
      <w:marTop w:val="0"/>
      <w:marBottom w:val="0"/>
      <w:divBdr>
        <w:top w:val="none" w:sz="0" w:space="0" w:color="auto"/>
        <w:left w:val="none" w:sz="0" w:space="0" w:color="auto"/>
        <w:bottom w:val="none" w:sz="0" w:space="0" w:color="auto"/>
        <w:right w:val="none" w:sz="0" w:space="0" w:color="auto"/>
      </w:divBdr>
    </w:div>
    <w:div w:id="287400495">
      <w:bodyDiv w:val="1"/>
      <w:marLeft w:val="0"/>
      <w:marRight w:val="0"/>
      <w:marTop w:val="0"/>
      <w:marBottom w:val="0"/>
      <w:divBdr>
        <w:top w:val="none" w:sz="0" w:space="0" w:color="auto"/>
        <w:left w:val="none" w:sz="0" w:space="0" w:color="auto"/>
        <w:bottom w:val="none" w:sz="0" w:space="0" w:color="auto"/>
        <w:right w:val="none" w:sz="0" w:space="0" w:color="auto"/>
      </w:divBdr>
      <w:divsChild>
        <w:div w:id="807472396">
          <w:marLeft w:val="0"/>
          <w:marRight w:val="0"/>
          <w:marTop w:val="0"/>
          <w:marBottom w:val="0"/>
          <w:divBdr>
            <w:top w:val="none" w:sz="0" w:space="0" w:color="auto"/>
            <w:left w:val="none" w:sz="0" w:space="0" w:color="auto"/>
            <w:bottom w:val="none" w:sz="0" w:space="0" w:color="auto"/>
            <w:right w:val="none" w:sz="0" w:space="0" w:color="auto"/>
          </w:divBdr>
        </w:div>
      </w:divsChild>
    </w:div>
    <w:div w:id="291792895">
      <w:bodyDiv w:val="1"/>
      <w:marLeft w:val="0"/>
      <w:marRight w:val="0"/>
      <w:marTop w:val="0"/>
      <w:marBottom w:val="0"/>
      <w:divBdr>
        <w:top w:val="none" w:sz="0" w:space="0" w:color="auto"/>
        <w:left w:val="none" w:sz="0" w:space="0" w:color="auto"/>
        <w:bottom w:val="none" w:sz="0" w:space="0" w:color="auto"/>
        <w:right w:val="none" w:sz="0" w:space="0" w:color="auto"/>
      </w:divBdr>
    </w:div>
    <w:div w:id="609630004">
      <w:bodyDiv w:val="1"/>
      <w:marLeft w:val="0"/>
      <w:marRight w:val="0"/>
      <w:marTop w:val="0"/>
      <w:marBottom w:val="0"/>
      <w:divBdr>
        <w:top w:val="none" w:sz="0" w:space="0" w:color="auto"/>
        <w:left w:val="none" w:sz="0" w:space="0" w:color="auto"/>
        <w:bottom w:val="none" w:sz="0" w:space="0" w:color="auto"/>
        <w:right w:val="none" w:sz="0" w:space="0" w:color="auto"/>
      </w:divBdr>
    </w:div>
    <w:div w:id="770929138">
      <w:bodyDiv w:val="1"/>
      <w:marLeft w:val="0"/>
      <w:marRight w:val="0"/>
      <w:marTop w:val="0"/>
      <w:marBottom w:val="0"/>
      <w:divBdr>
        <w:top w:val="none" w:sz="0" w:space="0" w:color="auto"/>
        <w:left w:val="none" w:sz="0" w:space="0" w:color="auto"/>
        <w:bottom w:val="none" w:sz="0" w:space="0" w:color="auto"/>
        <w:right w:val="none" w:sz="0" w:space="0" w:color="auto"/>
      </w:divBdr>
    </w:div>
    <w:div w:id="1353611965">
      <w:bodyDiv w:val="1"/>
      <w:marLeft w:val="0"/>
      <w:marRight w:val="0"/>
      <w:marTop w:val="0"/>
      <w:marBottom w:val="0"/>
      <w:divBdr>
        <w:top w:val="none" w:sz="0" w:space="0" w:color="auto"/>
        <w:left w:val="none" w:sz="0" w:space="0" w:color="auto"/>
        <w:bottom w:val="none" w:sz="0" w:space="0" w:color="auto"/>
        <w:right w:val="none" w:sz="0" w:space="0" w:color="auto"/>
      </w:divBdr>
    </w:div>
    <w:div w:id="1487743087">
      <w:bodyDiv w:val="1"/>
      <w:marLeft w:val="0"/>
      <w:marRight w:val="0"/>
      <w:marTop w:val="0"/>
      <w:marBottom w:val="0"/>
      <w:divBdr>
        <w:top w:val="none" w:sz="0" w:space="0" w:color="auto"/>
        <w:left w:val="none" w:sz="0" w:space="0" w:color="auto"/>
        <w:bottom w:val="none" w:sz="0" w:space="0" w:color="auto"/>
        <w:right w:val="none" w:sz="0" w:space="0" w:color="auto"/>
      </w:divBdr>
      <w:divsChild>
        <w:div w:id="627472875">
          <w:marLeft w:val="0"/>
          <w:marRight w:val="0"/>
          <w:marTop w:val="0"/>
          <w:marBottom w:val="0"/>
          <w:divBdr>
            <w:top w:val="none" w:sz="0" w:space="0" w:color="auto"/>
            <w:left w:val="none" w:sz="0" w:space="0" w:color="auto"/>
            <w:bottom w:val="none" w:sz="0" w:space="0" w:color="auto"/>
            <w:right w:val="none" w:sz="0" w:space="0" w:color="auto"/>
          </w:divBdr>
        </w:div>
      </w:divsChild>
    </w:div>
    <w:div w:id="1544368494">
      <w:bodyDiv w:val="1"/>
      <w:marLeft w:val="0"/>
      <w:marRight w:val="0"/>
      <w:marTop w:val="0"/>
      <w:marBottom w:val="0"/>
      <w:divBdr>
        <w:top w:val="none" w:sz="0" w:space="0" w:color="auto"/>
        <w:left w:val="none" w:sz="0" w:space="0" w:color="auto"/>
        <w:bottom w:val="none" w:sz="0" w:space="0" w:color="auto"/>
        <w:right w:val="none" w:sz="0" w:space="0" w:color="auto"/>
      </w:divBdr>
    </w:div>
    <w:div w:id="18523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5</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2021-05-03T00:38:00Z</cp:lastPrinted>
  <dcterms:created xsi:type="dcterms:W3CDTF">2021-05-03T00:37:00Z</dcterms:created>
  <dcterms:modified xsi:type="dcterms:W3CDTF">2021-05-05T03:21:00Z</dcterms:modified>
</cp:coreProperties>
</file>