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83501" w14:textId="77777777" w:rsidR="00F67DBB" w:rsidRPr="00526F32" w:rsidRDefault="00100B1B" w:rsidP="00526F32">
      <w:pPr>
        <w:jc w:val="center"/>
        <w:rPr>
          <w:rFonts w:ascii="Arial" w:hAnsi="Arial" w:cs="Arial"/>
          <w:b/>
        </w:rPr>
      </w:pPr>
      <w:r w:rsidRPr="00526F32">
        <w:rPr>
          <w:rFonts w:ascii="Arial" w:hAnsi="Arial" w:cs="Arial"/>
          <w:b/>
        </w:rPr>
        <w:t>CONSULTA COMPETENCIA DE MEDICAMENTOS</w:t>
      </w:r>
    </w:p>
    <w:p w14:paraId="50664E2B" w14:textId="77777777" w:rsidR="00810984" w:rsidRDefault="00810984" w:rsidP="00810984">
      <w:pPr>
        <w:jc w:val="both"/>
        <w:rPr>
          <w:rFonts w:ascii="Arial" w:hAnsi="Arial" w:cs="Arial"/>
        </w:rPr>
      </w:pPr>
    </w:p>
    <w:p w14:paraId="7FD19A30" w14:textId="77777777" w:rsidR="00810984" w:rsidRDefault="00810984" w:rsidP="00810984">
      <w:pPr>
        <w:jc w:val="both"/>
        <w:rPr>
          <w:rFonts w:ascii="Arial" w:hAnsi="Arial" w:cs="Arial"/>
        </w:rPr>
      </w:pPr>
    </w:p>
    <w:p w14:paraId="27152A16" w14:textId="77777777" w:rsidR="00526F32" w:rsidRDefault="00526F32" w:rsidP="00810984">
      <w:pPr>
        <w:jc w:val="both"/>
        <w:rPr>
          <w:rFonts w:ascii="Arial" w:hAnsi="Arial" w:cs="Arial"/>
        </w:rPr>
      </w:pPr>
    </w:p>
    <w:p w14:paraId="71FC5133" w14:textId="73932960" w:rsidR="00526F32" w:rsidRDefault="00526F32" w:rsidP="00810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Muy encarecidamente, le solicitamos el favor de da</w:t>
      </w:r>
      <w:r w:rsidR="00BD5261">
        <w:rPr>
          <w:rFonts w:ascii="Arial" w:hAnsi="Arial" w:cs="Arial"/>
        </w:rPr>
        <w:t>r respuesta a la siguiente consu</w:t>
      </w:r>
      <w:r>
        <w:rPr>
          <w:rFonts w:ascii="Arial" w:hAnsi="Arial" w:cs="Arial"/>
        </w:rPr>
        <w:t xml:space="preserve">lta, a fin de </w:t>
      </w:r>
      <w:r w:rsidR="00BD5261">
        <w:rPr>
          <w:rFonts w:ascii="Arial" w:hAnsi="Arial" w:cs="Arial"/>
        </w:rPr>
        <w:t>dar un cabal cumplimiento a nuestras funciones dentro de un marco co</w:t>
      </w:r>
      <w:r>
        <w:rPr>
          <w:rFonts w:ascii="Arial" w:hAnsi="Arial" w:cs="Arial"/>
        </w:rPr>
        <w:t>nstitucional</w:t>
      </w:r>
      <w:r w:rsidR="00BD5261">
        <w:rPr>
          <w:rFonts w:ascii="Arial" w:hAnsi="Arial" w:cs="Arial"/>
        </w:rPr>
        <w:t xml:space="preserve"> y legal; </w:t>
      </w:r>
      <w:r>
        <w:rPr>
          <w:rFonts w:ascii="Arial" w:hAnsi="Arial" w:cs="Arial"/>
        </w:rPr>
        <w:t xml:space="preserve"> </w:t>
      </w:r>
      <w:r w:rsidR="00BD5261">
        <w:rPr>
          <w:rFonts w:ascii="Arial" w:hAnsi="Arial" w:cs="Arial"/>
        </w:rPr>
        <w:t xml:space="preserve">pues </w:t>
      </w:r>
      <w:r>
        <w:rPr>
          <w:rFonts w:ascii="Arial" w:hAnsi="Arial" w:cs="Arial"/>
        </w:rPr>
        <w:t xml:space="preserve">la interpretación para algunos entes territoriales no satisfacen la nuestra, </w:t>
      </w:r>
      <w:r w:rsidR="00BD5261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la responsabilidad administrativa es cada vez mas exigente co</w:t>
      </w:r>
      <w:r w:rsidR="00BD5261">
        <w:rPr>
          <w:rFonts w:ascii="Arial" w:hAnsi="Arial" w:cs="Arial"/>
        </w:rPr>
        <w:t>n quienes estamos al frente de é</w:t>
      </w:r>
      <w:r>
        <w:rPr>
          <w:rFonts w:ascii="Arial" w:hAnsi="Arial" w:cs="Arial"/>
        </w:rPr>
        <w:t>stas instituciones.</w:t>
      </w:r>
    </w:p>
    <w:p w14:paraId="77C40F1B" w14:textId="77777777" w:rsidR="00526F32" w:rsidRDefault="00526F32" w:rsidP="00810984">
      <w:pPr>
        <w:jc w:val="both"/>
        <w:rPr>
          <w:rFonts w:ascii="Arial" w:hAnsi="Arial" w:cs="Arial"/>
        </w:rPr>
      </w:pPr>
    </w:p>
    <w:p w14:paraId="37846922" w14:textId="77777777" w:rsidR="00526F32" w:rsidRDefault="00526F32" w:rsidP="00810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Consulta:</w:t>
      </w:r>
    </w:p>
    <w:p w14:paraId="6DC20D99" w14:textId="77777777" w:rsidR="00526F32" w:rsidRDefault="00526F32" w:rsidP="00810984">
      <w:pPr>
        <w:jc w:val="both"/>
        <w:rPr>
          <w:rFonts w:ascii="Arial" w:hAnsi="Arial" w:cs="Arial"/>
        </w:rPr>
      </w:pPr>
    </w:p>
    <w:p w14:paraId="48909507" w14:textId="458386EE" w:rsidR="00526F32" w:rsidRDefault="00810984" w:rsidP="00526F3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26F32">
        <w:rPr>
          <w:rFonts w:ascii="Arial" w:hAnsi="Arial" w:cs="Arial"/>
        </w:rPr>
        <w:t>Ten</w:t>
      </w:r>
      <w:r w:rsidR="00BD5261">
        <w:rPr>
          <w:rFonts w:ascii="Arial" w:hAnsi="Arial" w:cs="Arial"/>
        </w:rPr>
        <w:t>iendo en cuenta que la secretarí</w:t>
      </w:r>
      <w:r w:rsidRPr="00526F32">
        <w:rPr>
          <w:rFonts w:ascii="Arial" w:hAnsi="Arial" w:cs="Arial"/>
        </w:rPr>
        <w:t>a de salud, no tiene dentro de las funciones</w:t>
      </w:r>
      <w:r w:rsidR="00BD5261">
        <w:rPr>
          <w:rFonts w:ascii="Arial" w:hAnsi="Arial" w:cs="Arial"/>
        </w:rPr>
        <w:t>,</w:t>
      </w:r>
      <w:r w:rsidRPr="00526F32">
        <w:rPr>
          <w:rFonts w:ascii="Arial" w:hAnsi="Arial" w:cs="Arial"/>
        </w:rPr>
        <w:t xml:space="preserve"> </w:t>
      </w:r>
      <w:r w:rsidR="00F04D17">
        <w:rPr>
          <w:rFonts w:ascii="Arial" w:hAnsi="Arial" w:cs="Arial"/>
        </w:rPr>
        <w:t>realizar</w:t>
      </w:r>
      <w:r w:rsidR="00BD5261">
        <w:rPr>
          <w:rFonts w:ascii="Arial" w:hAnsi="Arial" w:cs="Arial"/>
        </w:rPr>
        <w:t xml:space="preserve"> </w:t>
      </w:r>
      <w:r w:rsidRPr="00526F32">
        <w:rPr>
          <w:rFonts w:ascii="Arial" w:hAnsi="Arial" w:cs="Arial"/>
        </w:rPr>
        <w:t>IVC</w:t>
      </w:r>
      <w:r w:rsidR="00BD5261">
        <w:rPr>
          <w:rFonts w:ascii="Arial" w:hAnsi="Arial" w:cs="Arial"/>
        </w:rPr>
        <w:t xml:space="preserve"> en</w:t>
      </w:r>
      <w:r w:rsidRPr="00526F32">
        <w:rPr>
          <w:rFonts w:ascii="Arial" w:hAnsi="Arial" w:cs="Arial"/>
        </w:rPr>
        <w:t xml:space="preserve"> medicamentos, debe</w:t>
      </w:r>
      <w:r w:rsidR="00BD5261">
        <w:rPr>
          <w:rFonts w:ascii="Arial" w:hAnsi="Arial" w:cs="Arial"/>
        </w:rPr>
        <w:t>mos</w:t>
      </w:r>
      <w:r w:rsidRPr="00526F32">
        <w:rPr>
          <w:rFonts w:ascii="Arial" w:hAnsi="Arial" w:cs="Arial"/>
        </w:rPr>
        <w:t xml:space="preserve"> hace</w:t>
      </w:r>
      <w:r w:rsidR="00526F32" w:rsidRPr="00526F32">
        <w:rPr>
          <w:rFonts w:ascii="Arial" w:hAnsi="Arial" w:cs="Arial"/>
        </w:rPr>
        <w:t>r visitas a droguerias o establ</w:t>
      </w:r>
      <w:r w:rsidRPr="00526F32">
        <w:rPr>
          <w:rFonts w:ascii="Arial" w:hAnsi="Arial" w:cs="Arial"/>
        </w:rPr>
        <w:t>ecimientos similares</w:t>
      </w:r>
      <w:r w:rsidR="00BD5261">
        <w:rPr>
          <w:rFonts w:ascii="Arial" w:hAnsi="Arial" w:cs="Arial"/>
        </w:rPr>
        <w:t>, es decir en aquellos</w:t>
      </w:r>
      <w:r w:rsidR="00526F32" w:rsidRPr="00526F32">
        <w:rPr>
          <w:rFonts w:ascii="Arial" w:hAnsi="Arial" w:cs="Arial"/>
        </w:rPr>
        <w:t xml:space="preserve"> lugares donde se tengan para l</w:t>
      </w:r>
      <w:r w:rsidR="00BD5261">
        <w:rPr>
          <w:rFonts w:ascii="Arial" w:hAnsi="Arial" w:cs="Arial"/>
        </w:rPr>
        <w:t>a venta medicamentos para el consumo</w:t>
      </w:r>
      <w:r w:rsidR="00526F32" w:rsidRPr="00526F32">
        <w:rPr>
          <w:rFonts w:ascii="Arial" w:hAnsi="Arial" w:cs="Arial"/>
        </w:rPr>
        <w:t xml:space="preserve"> humano</w:t>
      </w:r>
      <w:r w:rsidRPr="00526F32">
        <w:rPr>
          <w:rFonts w:ascii="Arial" w:hAnsi="Arial" w:cs="Arial"/>
        </w:rPr>
        <w:t xml:space="preserve">?, </w:t>
      </w:r>
    </w:p>
    <w:p w14:paraId="6DB1FD7D" w14:textId="2B445313" w:rsidR="00526F32" w:rsidRDefault="00C67D36" w:rsidP="00526F3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26F32">
        <w:rPr>
          <w:rFonts w:ascii="Arial" w:hAnsi="Arial" w:cs="Arial"/>
        </w:rPr>
        <w:t>Si en una visita de IVC</w:t>
      </w:r>
      <w:r w:rsidR="00DB57CF">
        <w:rPr>
          <w:rFonts w:ascii="Arial" w:hAnsi="Arial" w:cs="Arial"/>
        </w:rPr>
        <w:t xml:space="preserve"> a establecimientos de comercio como </w:t>
      </w:r>
      <w:r w:rsidRPr="00526F32">
        <w:rPr>
          <w:rFonts w:ascii="Arial" w:hAnsi="Arial" w:cs="Arial"/>
        </w:rPr>
        <w:t>tienda de barrio o a grandes superficies,</w:t>
      </w:r>
      <w:r w:rsidR="00526F32">
        <w:rPr>
          <w:rFonts w:ascii="Arial" w:hAnsi="Arial" w:cs="Arial"/>
        </w:rPr>
        <w:t xml:space="preserve"> o a</w:t>
      </w:r>
      <w:r w:rsidR="00DB57CF">
        <w:rPr>
          <w:rFonts w:ascii="Arial" w:hAnsi="Arial" w:cs="Arial"/>
        </w:rPr>
        <w:t xml:space="preserve"> cualquier otro establecimiento</w:t>
      </w:r>
      <w:r w:rsidR="00526F32">
        <w:rPr>
          <w:rFonts w:ascii="Arial" w:hAnsi="Arial" w:cs="Arial"/>
        </w:rPr>
        <w:t xml:space="preserve"> </w:t>
      </w:r>
      <w:r w:rsidR="00DB57CF">
        <w:rPr>
          <w:rFonts w:ascii="Arial" w:hAnsi="Arial" w:cs="Arial"/>
        </w:rPr>
        <w:t xml:space="preserve">donde tambien venden </w:t>
      </w:r>
      <w:r w:rsidRPr="00526F32">
        <w:rPr>
          <w:rFonts w:ascii="Arial" w:hAnsi="Arial" w:cs="Arial"/>
        </w:rPr>
        <w:t xml:space="preserve">medicamentos </w:t>
      </w:r>
      <w:r w:rsidR="00DB57CF">
        <w:rPr>
          <w:rFonts w:ascii="Arial" w:hAnsi="Arial" w:cs="Arial"/>
        </w:rPr>
        <w:t>debemos ampliar nuestra IVC a dichos estans</w:t>
      </w:r>
      <w:r w:rsidRPr="00526F32">
        <w:rPr>
          <w:rFonts w:ascii="Arial" w:hAnsi="Arial" w:cs="Arial"/>
        </w:rPr>
        <w:t xml:space="preserve">?. </w:t>
      </w:r>
    </w:p>
    <w:p w14:paraId="60569D58" w14:textId="4F68AF83" w:rsidR="00526F32" w:rsidRDefault="00C67D36" w:rsidP="00526F3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26F32">
        <w:rPr>
          <w:rFonts w:ascii="Arial" w:hAnsi="Arial" w:cs="Arial"/>
        </w:rPr>
        <w:t xml:space="preserve">De encontrar medicamentos vencidos en un establecimiento que se visita por factores de riergo en alimentos de consumo humano, </w:t>
      </w:r>
      <w:r w:rsidR="00DB57CF">
        <w:rPr>
          <w:rFonts w:ascii="Arial" w:hAnsi="Arial" w:cs="Arial"/>
        </w:rPr>
        <w:t xml:space="preserve"> </w:t>
      </w:r>
      <w:r w:rsidR="00BD5261">
        <w:rPr>
          <w:rFonts w:ascii="Arial" w:hAnsi="Arial" w:cs="Arial"/>
        </w:rPr>
        <w:t>como</w:t>
      </w:r>
      <w:r w:rsidR="00526F32">
        <w:rPr>
          <w:rFonts w:ascii="Arial" w:hAnsi="Arial" w:cs="Arial"/>
        </w:rPr>
        <w:t xml:space="preserve"> secretaria </w:t>
      </w:r>
      <w:r w:rsidR="00BD5261">
        <w:rPr>
          <w:rFonts w:ascii="Arial" w:hAnsi="Arial" w:cs="Arial"/>
        </w:rPr>
        <w:t xml:space="preserve">de salud municipal, tenemos </w:t>
      </w:r>
      <w:r w:rsidR="00526F32">
        <w:rPr>
          <w:rFonts w:ascii="Arial" w:hAnsi="Arial" w:cs="Arial"/>
        </w:rPr>
        <w:t>competencia</w:t>
      </w:r>
      <w:r w:rsidR="00BD5261">
        <w:rPr>
          <w:rFonts w:ascii="Arial" w:hAnsi="Arial" w:cs="Arial"/>
        </w:rPr>
        <w:t>s</w:t>
      </w:r>
      <w:r w:rsidR="00526F32">
        <w:rPr>
          <w:rFonts w:ascii="Arial" w:hAnsi="Arial" w:cs="Arial"/>
        </w:rPr>
        <w:t xml:space="preserve"> para que </w:t>
      </w:r>
      <w:r w:rsidRPr="00526F32">
        <w:rPr>
          <w:rFonts w:ascii="Arial" w:hAnsi="Arial" w:cs="Arial"/>
        </w:rPr>
        <w:t>los tecnicos</w:t>
      </w:r>
      <w:r w:rsidR="00526F32">
        <w:rPr>
          <w:rFonts w:ascii="Arial" w:hAnsi="Arial" w:cs="Arial"/>
        </w:rPr>
        <w:t xml:space="preserve"> realicen IVC</w:t>
      </w:r>
      <w:r w:rsidRPr="00526F32">
        <w:rPr>
          <w:rFonts w:ascii="Arial" w:hAnsi="Arial" w:cs="Arial"/>
        </w:rPr>
        <w:t>, a</w:t>
      </w:r>
      <w:r w:rsidR="00DB57CF">
        <w:rPr>
          <w:rFonts w:ascii="Arial" w:hAnsi="Arial" w:cs="Arial"/>
        </w:rPr>
        <w:t xml:space="preserve"> dichos productos, según el artí</w:t>
      </w:r>
      <w:r w:rsidR="00526F32">
        <w:rPr>
          <w:rFonts w:ascii="Arial" w:hAnsi="Arial" w:cs="Arial"/>
        </w:rPr>
        <w:t>culo 44 de la L</w:t>
      </w:r>
      <w:r w:rsidRPr="00526F32">
        <w:rPr>
          <w:rFonts w:ascii="Arial" w:hAnsi="Arial" w:cs="Arial"/>
        </w:rPr>
        <w:t>ey 715 de 2001</w:t>
      </w:r>
      <w:r w:rsidR="00DB57CF">
        <w:rPr>
          <w:rFonts w:ascii="Arial" w:hAnsi="Arial" w:cs="Arial"/>
        </w:rPr>
        <w:t xml:space="preserve"> “competencia de los municipios”</w:t>
      </w:r>
      <w:r w:rsidRPr="00526F32">
        <w:rPr>
          <w:rFonts w:ascii="Arial" w:hAnsi="Arial" w:cs="Arial"/>
        </w:rPr>
        <w:t>?</w:t>
      </w:r>
      <w:r w:rsidR="00526F32">
        <w:rPr>
          <w:rFonts w:ascii="Arial" w:hAnsi="Arial" w:cs="Arial"/>
        </w:rPr>
        <w:t>.</w:t>
      </w:r>
    </w:p>
    <w:p w14:paraId="75DF1966" w14:textId="43A38E86" w:rsidR="00526F32" w:rsidRPr="00526F32" w:rsidRDefault="00526F32" w:rsidP="00526F3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26F32">
        <w:rPr>
          <w:rFonts w:ascii="Arial" w:hAnsi="Arial" w:cs="Arial"/>
        </w:rPr>
        <w:t>El alcance de la</w:t>
      </w:r>
      <w:r>
        <w:rPr>
          <w:rFonts w:ascii="Arial" w:hAnsi="Arial" w:cs="Arial"/>
        </w:rPr>
        <w:t>s</w:t>
      </w:r>
      <w:r w:rsidRPr="00526F32">
        <w:rPr>
          <w:rFonts w:ascii="Arial" w:hAnsi="Arial" w:cs="Arial"/>
        </w:rPr>
        <w:t xml:space="preserve"> palabra</w:t>
      </w:r>
      <w:r>
        <w:rPr>
          <w:rFonts w:ascii="Arial" w:hAnsi="Arial" w:cs="Arial"/>
        </w:rPr>
        <w:t>s</w:t>
      </w:r>
      <w:r w:rsidRPr="00526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810984">
        <w:rPr>
          <w:rFonts w:ascii="Arial" w:hAnsi="Arial" w:cs="Arial"/>
          <w:b/>
        </w:rPr>
        <w:t>entre otros</w:t>
      </w:r>
      <w:r>
        <w:rPr>
          <w:rFonts w:ascii="Arial" w:hAnsi="Arial" w:cs="Arial"/>
        </w:rPr>
        <w:t xml:space="preserve">”, que se encuentra </w:t>
      </w:r>
      <w:r w:rsidR="001F0529">
        <w:rPr>
          <w:rFonts w:ascii="Arial" w:hAnsi="Arial" w:cs="Arial"/>
        </w:rPr>
        <w:t>al final del articulo 44.3.5 de la L</w:t>
      </w:r>
      <w:r>
        <w:rPr>
          <w:rFonts w:ascii="Arial" w:hAnsi="Arial" w:cs="Arial"/>
        </w:rPr>
        <w:t>ey 715 de 2001,</w:t>
      </w:r>
      <w:r w:rsidR="001F0529">
        <w:rPr>
          <w:rFonts w:ascii="Arial" w:hAnsi="Arial" w:cs="Arial"/>
        </w:rPr>
        <w:t xml:space="preserve"> permite incluir </w:t>
      </w:r>
      <w:r w:rsidR="00DB57CF">
        <w:rPr>
          <w:rFonts w:ascii="Arial" w:hAnsi="Arial" w:cs="Arial"/>
        </w:rPr>
        <w:t xml:space="preserve">a </w:t>
      </w:r>
      <w:r w:rsidR="001F0529">
        <w:rPr>
          <w:rFonts w:ascii="Arial" w:hAnsi="Arial" w:cs="Arial"/>
        </w:rPr>
        <w:t xml:space="preserve">las droguerias o establecimientos comerciales donde se venden medicamentos, </w:t>
      </w:r>
      <w:r w:rsidR="00DB57CF">
        <w:rPr>
          <w:rFonts w:ascii="Arial" w:hAnsi="Arial" w:cs="Arial"/>
        </w:rPr>
        <w:t>y estamos obligados a realizarles I.V.C.?</w:t>
      </w:r>
      <w:r w:rsidR="001F0529">
        <w:rPr>
          <w:rFonts w:ascii="Arial" w:hAnsi="Arial" w:cs="Arial"/>
        </w:rPr>
        <w:t xml:space="preserve"> </w:t>
      </w:r>
    </w:p>
    <w:p w14:paraId="0ADE557E" w14:textId="77777777" w:rsidR="00526F32" w:rsidRPr="001F0529" w:rsidRDefault="001F0529" w:rsidP="00526F32">
      <w:pPr>
        <w:pStyle w:val="NormalWeb"/>
        <w:ind w:left="708"/>
        <w:jc w:val="both"/>
        <w:rPr>
          <w:i/>
          <w:sz w:val="16"/>
          <w:szCs w:val="16"/>
        </w:rPr>
      </w:pPr>
      <w:r w:rsidRPr="001F0529">
        <w:rPr>
          <w:rFonts w:ascii="Arial" w:hAnsi="Arial" w:cs="Arial"/>
          <w:i/>
          <w:sz w:val="16"/>
          <w:szCs w:val="16"/>
        </w:rPr>
        <w:t>“</w:t>
      </w:r>
      <w:r w:rsidR="00526F32" w:rsidRPr="001F0529">
        <w:rPr>
          <w:rFonts w:ascii="Arial" w:hAnsi="Arial" w:cs="Arial"/>
          <w:i/>
          <w:sz w:val="16"/>
          <w:szCs w:val="16"/>
        </w:rPr>
        <w:t xml:space="preserve">44.3.5. Ejercer vigilancia y control sanitario en su jurisdicción, sobre los factores de riesgo para la salud, en los establecimientos y espacios que puedan generar riesgos para la población, tales como establecimientos educativos, hospitales, cárceles, cuarteles, albergues, guarderías, ancianatos, puertos, aeropuertos y terminales terrestres, transporte público, piscinas, estadios, coliseos, gimnasios, bares, tabernas, supermercados y similares, plazas de mercado, de abasto público y plantas de sacrificio de animales, </w:t>
      </w:r>
      <w:r w:rsidR="00526F32" w:rsidRPr="001F0529">
        <w:rPr>
          <w:rFonts w:ascii="Arial" w:hAnsi="Arial" w:cs="Arial"/>
          <w:b/>
          <w:i/>
          <w:sz w:val="16"/>
          <w:szCs w:val="16"/>
        </w:rPr>
        <w:t>entre otros</w:t>
      </w:r>
      <w:r w:rsidRPr="001F0529">
        <w:rPr>
          <w:rFonts w:ascii="Arial" w:hAnsi="Arial" w:cs="Arial"/>
          <w:b/>
          <w:i/>
          <w:sz w:val="16"/>
          <w:szCs w:val="16"/>
        </w:rPr>
        <w:t>”</w:t>
      </w:r>
      <w:r w:rsidR="00526F32" w:rsidRPr="001F0529">
        <w:rPr>
          <w:rFonts w:ascii="Arial" w:hAnsi="Arial" w:cs="Arial"/>
          <w:i/>
          <w:sz w:val="16"/>
          <w:szCs w:val="16"/>
        </w:rPr>
        <w:t xml:space="preserve">. </w:t>
      </w:r>
    </w:p>
    <w:p w14:paraId="0E828AEF" w14:textId="1B19D41B" w:rsidR="004B1E68" w:rsidRDefault="004B1E68" w:rsidP="0081098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Teniendo en cuenta la C</w:t>
      </w:r>
      <w:r w:rsidR="00C67D36" w:rsidRPr="004B1E68">
        <w:rPr>
          <w:rFonts w:ascii="Arial" w:hAnsi="Arial" w:cs="Arial"/>
        </w:rPr>
        <w:t>ircular 039 de 2016 , expedida por el Ministerio de Salud</w:t>
      </w:r>
      <w:r w:rsidR="001F0529" w:rsidRPr="004B1E68">
        <w:rPr>
          <w:rFonts w:ascii="Arial" w:hAnsi="Arial" w:cs="Arial"/>
        </w:rPr>
        <w:t>,</w:t>
      </w:r>
      <w:r w:rsidR="00C67D36" w:rsidRPr="004B1E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donde se </w:t>
      </w:r>
      <w:r w:rsidR="00C67D36" w:rsidRPr="004B1E68">
        <w:rPr>
          <w:rFonts w:ascii="Arial" w:hAnsi="Arial" w:cs="Arial"/>
        </w:rPr>
        <w:t xml:space="preserve">establece unos lineamientos para la articulación y coordinación de las actividades de IVC </w:t>
      </w:r>
      <w:r w:rsidR="00C67D36" w:rsidRPr="004B1E68">
        <w:rPr>
          <w:rFonts w:ascii="Arial" w:hAnsi="Arial" w:cs="Arial"/>
          <w:b/>
          <w:u w:val="single"/>
        </w:rPr>
        <w:t>relaci</w:t>
      </w:r>
      <w:r w:rsidR="00DB57CF">
        <w:rPr>
          <w:rFonts w:ascii="Arial" w:hAnsi="Arial" w:cs="Arial"/>
          <w:b/>
          <w:u w:val="single"/>
        </w:rPr>
        <w:t xml:space="preserve">onadas con medicamentos de uso </w:t>
      </w:r>
      <w:r w:rsidR="005F0D42">
        <w:rPr>
          <w:rFonts w:ascii="Arial" w:hAnsi="Arial" w:cs="Arial"/>
          <w:b/>
          <w:u w:val="single"/>
        </w:rPr>
        <w:t>y</w:t>
      </w:r>
      <w:r w:rsidR="00C67D36" w:rsidRPr="004B1E68">
        <w:rPr>
          <w:rFonts w:ascii="Arial" w:hAnsi="Arial" w:cs="Arial"/>
          <w:b/>
          <w:u w:val="single"/>
        </w:rPr>
        <w:t xml:space="preserve"> co</w:t>
      </w:r>
      <w:r w:rsidR="00DB57CF">
        <w:rPr>
          <w:rFonts w:ascii="Arial" w:hAnsi="Arial" w:cs="Arial"/>
          <w:b/>
          <w:u w:val="single"/>
        </w:rPr>
        <w:t>n</w:t>
      </w:r>
      <w:r w:rsidR="00C67D36" w:rsidRPr="004B1E68">
        <w:rPr>
          <w:rFonts w:ascii="Arial" w:hAnsi="Arial" w:cs="Arial"/>
          <w:b/>
          <w:u w:val="single"/>
        </w:rPr>
        <w:t>s</w:t>
      </w:r>
      <w:r w:rsidR="00DB57CF">
        <w:rPr>
          <w:rFonts w:ascii="Arial" w:hAnsi="Arial" w:cs="Arial"/>
          <w:b/>
          <w:u w:val="single"/>
        </w:rPr>
        <w:t>u</w:t>
      </w:r>
      <w:r w:rsidR="00C67D36" w:rsidRPr="004B1E68">
        <w:rPr>
          <w:rFonts w:ascii="Arial" w:hAnsi="Arial" w:cs="Arial"/>
          <w:b/>
          <w:u w:val="single"/>
        </w:rPr>
        <w:t>mo humano</w:t>
      </w:r>
      <w:r w:rsidR="00C67D36" w:rsidRPr="004B1E68">
        <w:rPr>
          <w:rFonts w:ascii="Arial" w:hAnsi="Arial" w:cs="Arial"/>
        </w:rPr>
        <w:t>; indicando que</w:t>
      </w:r>
      <w:r>
        <w:rPr>
          <w:rFonts w:ascii="Arial" w:hAnsi="Arial" w:cs="Arial"/>
        </w:rPr>
        <w:t xml:space="preserve"> ademas de las actividades señaladas en el art. 18 y 19 de la ley 1229 de 2013, se deberá:</w:t>
      </w:r>
    </w:p>
    <w:p w14:paraId="4118A33A" w14:textId="77777777" w:rsidR="004B1E68" w:rsidRDefault="004B1E68" w:rsidP="004B1E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5.1, 5.2, </w:t>
      </w:r>
    </w:p>
    <w:p w14:paraId="693ACEF2" w14:textId="125DF56A" w:rsidR="00C67D36" w:rsidRPr="004B1E68" w:rsidRDefault="00DB57CF" w:rsidP="004B1E68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debe entender que ésta secre</w:t>
      </w:r>
      <w:r w:rsidR="009A0580">
        <w:rPr>
          <w:rFonts w:ascii="Arial" w:hAnsi="Arial" w:cs="Arial"/>
        </w:rPr>
        <w:t>tarí</w:t>
      </w:r>
      <w:r w:rsidR="002A6528">
        <w:rPr>
          <w:rFonts w:ascii="Arial" w:hAnsi="Arial" w:cs="Arial"/>
        </w:rPr>
        <w:t>a</w:t>
      </w:r>
      <w:r w:rsidR="004B1E68">
        <w:rPr>
          <w:rFonts w:ascii="Arial" w:hAnsi="Arial" w:cs="Arial"/>
        </w:rPr>
        <w:t xml:space="preserve"> de salud municipal</w:t>
      </w:r>
      <w:r>
        <w:rPr>
          <w:rFonts w:ascii="Arial" w:hAnsi="Arial" w:cs="Arial"/>
        </w:rPr>
        <w:t>,</w:t>
      </w:r>
      <w:r w:rsidR="004B1E68">
        <w:rPr>
          <w:rFonts w:ascii="Arial" w:hAnsi="Arial" w:cs="Arial"/>
        </w:rPr>
        <w:t xml:space="preserve"> debe realzar atividades de </w:t>
      </w:r>
      <w:r w:rsidR="009A0580">
        <w:rPr>
          <w:rFonts w:ascii="Arial" w:hAnsi="Arial" w:cs="Arial"/>
        </w:rPr>
        <w:t>IVC</w:t>
      </w:r>
      <w:r w:rsidR="004B1E68">
        <w:rPr>
          <w:rFonts w:ascii="Arial" w:hAnsi="Arial" w:cs="Arial"/>
        </w:rPr>
        <w:t xml:space="preserve"> a las </w:t>
      </w:r>
      <w:r w:rsidR="00C67D36" w:rsidRPr="004B1E68">
        <w:rPr>
          <w:rFonts w:ascii="Arial" w:hAnsi="Arial" w:cs="Arial"/>
        </w:rPr>
        <w:t xml:space="preserve"> </w:t>
      </w:r>
      <w:r w:rsidR="009A0580">
        <w:rPr>
          <w:rFonts w:ascii="Arial" w:hAnsi="Arial" w:cs="Arial"/>
        </w:rPr>
        <w:t>droguerias o puntos ubicados en supermercados o establecimientos de grandes superficies donde venden medicamentos?</w:t>
      </w:r>
      <w:r w:rsidR="00C67D36" w:rsidRPr="004B1E68">
        <w:rPr>
          <w:rFonts w:ascii="Arial" w:hAnsi="Arial" w:cs="Arial"/>
        </w:rPr>
        <w:t xml:space="preserve"> </w:t>
      </w:r>
    </w:p>
    <w:p w14:paraId="102202D1" w14:textId="77777777" w:rsidR="00C67D36" w:rsidRDefault="00C67D36" w:rsidP="00810984">
      <w:pPr>
        <w:jc w:val="both"/>
        <w:rPr>
          <w:rFonts w:ascii="Arial" w:hAnsi="Arial" w:cs="Arial"/>
        </w:rPr>
      </w:pPr>
    </w:p>
    <w:p w14:paraId="03D2CACB" w14:textId="77777777" w:rsidR="00C67D36" w:rsidRDefault="00C67D36" w:rsidP="00810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Fundamentos Legales</w:t>
      </w:r>
    </w:p>
    <w:p w14:paraId="48BA906F" w14:textId="77777777" w:rsidR="00810984" w:rsidRDefault="00C67D36" w:rsidP="00810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3843BF20" w14:textId="77777777" w:rsidR="00810984" w:rsidRDefault="00810984" w:rsidP="00810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Teniendo en cuenta que la ley 715 de 2001, </w:t>
      </w:r>
    </w:p>
    <w:p w14:paraId="1A080F6F" w14:textId="77777777" w:rsidR="00810984" w:rsidRDefault="00810984" w:rsidP="00810984">
      <w:pPr>
        <w:jc w:val="both"/>
        <w:rPr>
          <w:rFonts w:ascii="Arial" w:hAnsi="Arial" w:cs="Arial"/>
        </w:rPr>
      </w:pPr>
    </w:p>
    <w:p w14:paraId="4244E2E0" w14:textId="77777777" w:rsidR="00F67DBB" w:rsidRPr="004B1E68" w:rsidRDefault="00810984" w:rsidP="00810984">
      <w:pPr>
        <w:jc w:val="both"/>
        <w:rPr>
          <w:rFonts w:ascii="Arial" w:hAnsi="Arial" w:cs="Arial"/>
          <w:sz w:val="16"/>
          <w:szCs w:val="16"/>
        </w:rPr>
      </w:pPr>
      <w:r w:rsidRPr="004B1E68">
        <w:rPr>
          <w:rFonts w:ascii="Arial" w:hAnsi="Arial" w:cs="Arial"/>
          <w:sz w:val="16"/>
          <w:szCs w:val="16"/>
        </w:rPr>
        <w:t>a) Establece en su</w:t>
      </w:r>
      <w:r w:rsidR="00F67DBB" w:rsidRPr="004B1E68">
        <w:rPr>
          <w:rFonts w:ascii="Arial" w:hAnsi="Arial" w:cs="Arial"/>
          <w:sz w:val="16"/>
          <w:szCs w:val="16"/>
        </w:rPr>
        <w:t xml:space="preserve"> </w:t>
      </w:r>
      <w:r w:rsidR="00100B1B" w:rsidRPr="004B1E68">
        <w:rPr>
          <w:rFonts w:ascii="Arial" w:hAnsi="Arial" w:cs="Arial"/>
          <w:sz w:val="16"/>
          <w:szCs w:val="16"/>
        </w:rPr>
        <w:t xml:space="preserve"> </w:t>
      </w:r>
      <w:r w:rsidR="00F67DBB" w:rsidRPr="004B1E68">
        <w:rPr>
          <w:rFonts w:ascii="Arial" w:hAnsi="Arial" w:cs="Arial"/>
          <w:sz w:val="16"/>
          <w:szCs w:val="16"/>
        </w:rPr>
        <w:t>Artículo 42. Competencias en salud por parte de la Nación. Corresponde a la Nación la dirección del sector salud y del Sistema General de Seguridad Social en Salud en el territorio nacional, de acuerdo con la diversidad regional y el ejercicio de las siguientes competencias, sin perjuicio de las asignadas en otras disposiciones: …</w:t>
      </w:r>
      <w:r w:rsidRPr="004B1E68">
        <w:rPr>
          <w:rFonts w:ascii="Arial" w:hAnsi="Arial" w:cs="Arial"/>
          <w:sz w:val="16"/>
          <w:szCs w:val="16"/>
        </w:rPr>
        <w:t xml:space="preserve"> y en el articulo</w:t>
      </w:r>
      <w:r w:rsidR="00F67DBB" w:rsidRPr="004B1E68">
        <w:rPr>
          <w:rFonts w:ascii="Arial" w:hAnsi="Arial" w:cs="Arial"/>
          <w:sz w:val="16"/>
          <w:szCs w:val="16"/>
        </w:rPr>
        <w:t xml:space="preserve"> 42.13 Adquirir, distribuir y garantizar el suministro oportuno de los biológicos del Plan Ampliado de Inmunizaciones (PAI), los insumos críticos para el control de vectores y </w:t>
      </w:r>
      <w:r w:rsidR="00F67DBB" w:rsidRPr="004B1E68">
        <w:rPr>
          <w:rFonts w:ascii="Arial" w:hAnsi="Arial" w:cs="Arial"/>
          <w:b/>
          <w:sz w:val="16"/>
          <w:szCs w:val="16"/>
          <w:u w:val="single"/>
        </w:rPr>
        <w:t>los medicamentos</w:t>
      </w:r>
      <w:r w:rsidR="00F67DBB" w:rsidRPr="004B1E68">
        <w:rPr>
          <w:rFonts w:ascii="Arial" w:hAnsi="Arial" w:cs="Arial"/>
          <w:sz w:val="16"/>
          <w:szCs w:val="16"/>
        </w:rPr>
        <w:t xml:space="preserve"> para el manejo de los esquemas básicos de las enfermedades transmisibles y de control especial. </w:t>
      </w:r>
    </w:p>
    <w:p w14:paraId="67C08523" w14:textId="77777777" w:rsidR="00810984" w:rsidRPr="004B1E68" w:rsidRDefault="00810984" w:rsidP="00810984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4B1E68">
        <w:rPr>
          <w:rFonts w:ascii="Arial" w:hAnsi="Arial" w:cs="Arial"/>
          <w:sz w:val="16"/>
          <w:szCs w:val="16"/>
        </w:rPr>
        <w:t xml:space="preserve">b) Establece en el articulo 43, </w:t>
      </w:r>
      <w:r w:rsidR="00F67DBB" w:rsidRPr="004B1E68">
        <w:rPr>
          <w:rFonts w:ascii="Arial" w:hAnsi="Arial" w:cs="Arial"/>
          <w:sz w:val="16"/>
          <w:szCs w:val="16"/>
        </w:rPr>
        <w:t>Competencias de las entidades territoriales en el sector salud</w:t>
      </w:r>
      <w:r w:rsidRPr="004B1E68">
        <w:rPr>
          <w:rFonts w:ascii="Arial" w:hAnsi="Arial" w:cs="Arial"/>
          <w:sz w:val="16"/>
          <w:szCs w:val="16"/>
        </w:rPr>
        <w:t xml:space="preserve">, así: </w:t>
      </w:r>
      <w:r w:rsidR="00F67DBB" w:rsidRPr="004B1E68">
        <w:rPr>
          <w:rFonts w:ascii="Arial" w:hAnsi="Arial" w:cs="Arial"/>
          <w:sz w:val="16"/>
          <w:szCs w:val="16"/>
        </w:rPr>
        <w:t>Artículo 43. Competencias de los departamentos en salud. Sin perjuicio de las competencias establecidas en otras disposiciones legales, corresponde a los departamentos, dirigir, coordinar y vigilar el sector salud y el Sistema General de Seguridad Social en Salud en el territorio de su jurisdicción, atendiendo las disposiciones nacionales sobre la materia. Para tal efecto, se le asignan las siguientes funciones:</w:t>
      </w:r>
      <w:r w:rsidRPr="004B1E68">
        <w:rPr>
          <w:rFonts w:ascii="Arial" w:hAnsi="Arial" w:cs="Arial"/>
          <w:sz w:val="16"/>
          <w:szCs w:val="16"/>
        </w:rPr>
        <w:t xml:space="preserve"> </w:t>
      </w:r>
      <w:r w:rsidRPr="004B1E68">
        <w:rPr>
          <w:rFonts w:ascii="Arial" w:hAnsi="Arial" w:cs="Arial"/>
          <w:sz w:val="16"/>
          <w:szCs w:val="16"/>
        </w:rPr>
        <w:tab/>
      </w:r>
    </w:p>
    <w:p w14:paraId="5FC080C8" w14:textId="77777777" w:rsidR="00810984" w:rsidRPr="004B1E68" w:rsidRDefault="00810984" w:rsidP="00810984">
      <w:pPr>
        <w:pStyle w:val="NormalWeb"/>
        <w:ind w:left="708"/>
        <w:jc w:val="both"/>
        <w:rPr>
          <w:rFonts w:ascii="Arial" w:hAnsi="Arial" w:cs="Arial"/>
          <w:sz w:val="16"/>
          <w:szCs w:val="16"/>
        </w:rPr>
      </w:pPr>
      <w:r w:rsidRPr="004B1E68">
        <w:rPr>
          <w:rFonts w:ascii="Arial" w:hAnsi="Arial" w:cs="Arial"/>
          <w:sz w:val="16"/>
          <w:szCs w:val="16"/>
        </w:rPr>
        <w:t>…</w:t>
      </w:r>
    </w:p>
    <w:p w14:paraId="7719562A" w14:textId="77777777" w:rsidR="00BC44E2" w:rsidRPr="004B1E68" w:rsidRDefault="00F67DBB" w:rsidP="00810984">
      <w:pPr>
        <w:pStyle w:val="NormalWeb"/>
        <w:ind w:left="708"/>
        <w:jc w:val="both"/>
        <w:rPr>
          <w:rFonts w:ascii="Arial" w:hAnsi="Arial" w:cs="Arial"/>
          <w:sz w:val="16"/>
          <w:szCs w:val="16"/>
        </w:rPr>
      </w:pPr>
      <w:r w:rsidRPr="004B1E68">
        <w:rPr>
          <w:rFonts w:ascii="Arial" w:hAnsi="Arial" w:cs="Arial"/>
          <w:sz w:val="16"/>
          <w:szCs w:val="16"/>
        </w:rPr>
        <w:t xml:space="preserve">43.3.7. Vigilar y controlar, en coordinación con el Instituto Nacional para la Vigilancia de Medicamentos y Alimentos, Invima, y el Fondo Nacional de Estupefacientes, la producción, expendio, </w:t>
      </w:r>
      <w:r w:rsidRPr="004B1E68">
        <w:rPr>
          <w:rFonts w:ascii="Arial" w:hAnsi="Arial" w:cs="Arial"/>
          <w:b/>
          <w:sz w:val="16"/>
          <w:szCs w:val="16"/>
          <w:u w:val="single"/>
        </w:rPr>
        <w:t>comercialización y distribución de medicamentos</w:t>
      </w:r>
      <w:r w:rsidRPr="004B1E68">
        <w:rPr>
          <w:rFonts w:ascii="Arial" w:hAnsi="Arial" w:cs="Arial"/>
          <w:sz w:val="16"/>
          <w:szCs w:val="16"/>
        </w:rPr>
        <w:t xml:space="preserve">, incluyendo aquellos que causen dependencia o efectos psicoactivos potencialmente dañinos para la salud y sustancias potencialmente tóxicas. </w:t>
      </w:r>
    </w:p>
    <w:p w14:paraId="220B7D79" w14:textId="77777777" w:rsidR="00810984" w:rsidRPr="004B1E68" w:rsidRDefault="00810984" w:rsidP="00810984">
      <w:pPr>
        <w:pStyle w:val="NormalWeb"/>
        <w:jc w:val="both"/>
        <w:rPr>
          <w:sz w:val="16"/>
          <w:szCs w:val="16"/>
        </w:rPr>
      </w:pPr>
      <w:r w:rsidRPr="004B1E68">
        <w:rPr>
          <w:rFonts w:ascii="Arial" w:hAnsi="Arial" w:cs="Arial"/>
          <w:sz w:val="16"/>
          <w:szCs w:val="16"/>
        </w:rPr>
        <w:t xml:space="preserve">c) Establece en el Artículo 44. Competencias de los municipios. Corresponde a los municipios dirigir y coordinar el sector salud y el Sistema General de Seguridad Social en Salud en el ámbito de su jurisdicción, para lo cual cumplirán las siguientes funciones, sin perjuicio de las asignadas en otras disposiciones: </w:t>
      </w:r>
    </w:p>
    <w:p w14:paraId="2DD95A4F" w14:textId="77777777" w:rsidR="00810984" w:rsidRPr="004B1E68" w:rsidRDefault="00810984" w:rsidP="00810984">
      <w:pPr>
        <w:pStyle w:val="NormalWeb"/>
        <w:ind w:left="708"/>
        <w:jc w:val="both"/>
        <w:rPr>
          <w:rFonts w:ascii="Arial" w:hAnsi="Arial" w:cs="Arial"/>
          <w:sz w:val="16"/>
          <w:szCs w:val="16"/>
        </w:rPr>
      </w:pPr>
      <w:r w:rsidRPr="004B1E68">
        <w:rPr>
          <w:rFonts w:ascii="Arial" w:hAnsi="Arial" w:cs="Arial"/>
          <w:sz w:val="16"/>
          <w:szCs w:val="16"/>
        </w:rPr>
        <w:t>…</w:t>
      </w:r>
    </w:p>
    <w:p w14:paraId="066A49E4" w14:textId="77777777" w:rsidR="00BC44E2" w:rsidRPr="004B1E68" w:rsidRDefault="00BC44E2" w:rsidP="00810984">
      <w:pPr>
        <w:pStyle w:val="NormalWeb"/>
        <w:ind w:left="708"/>
        <w:jc w:val="both"/>
        <w:rPr>
          <w:sz w:val="16"/>
          <w:szCs w:val="16"/>
        </w:rPr>
      </w:pPr>
      <w:r w:rsidRPr="004B1E68">
        <w:rPr>
          <w:rFonts w:ascii="Arial" w:hAnsi="Arial" w:cs="Arial"/>
          <w:sz w:val="16"/>
          <w:szCs w:val="16"/>
        </w:rPr>
        <w:t xml:space="preserve">44.3.5. Ejercer vigilancia y control sanitario en su jurisdicción, sobre los factores de riesgo para la salud, en los establecimientos y espacios que puedan generar riesgos para la población, tales como establecimientos educativos, hospitales, cárceles, cuarteles, albergues, guarderías, ancianatos, puertos, aeropuertos y terminales terrestres, transporte público, piscinas, estadios, coliseos, gimnasios, bares, tabernas, supermercados y similares, plazas de mercado, de abasto público y plantas de sacrificio de animales, </w:t>
      </w:r>
      <w:r w:rsidRPr="004B1E68">
        <w:rPr>
          <w:rFonts w:ascii="Arial" w:hAnsi="Arial" w:cs="Arial"/>
          <w:b/>
          <w:sz w:val="16"/>
          <w:szCs w:val="16"/>
        </w:rPr>
        <w:t>entre otros</w:t>
      </w:r>
      <w:r w:rsidRPr="004B1E68">
        <w:rPr>
          <w:rFonts w:ascii="Arial" w:hAnsi="Arial" w:cs="Arial"/>
          <w:sz w:val="16"/>
          <w:szCs w:val="16"/>
        </w:rPr>
        <w:t xml:space="preserve">. </w:t>
      </w:r>
    </w:p>
    <w:p w14:paraId="45FAF4B6" w14:textId="77777777" w:rsidR="00EA7523" w:rsidRDefault="00EA7523" w:rsidP="00810984">
      <w:pPr>
        <w:pStyle w:val="Normal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Circular 039 de 2016, expedida por el Ministerio de Salud.</w:t>
      </w:r>
    </w:p>
    <w:p w14:paraId="329D7364" w14:textId="77777777" w:rsidR="00EA7523" w:rsidRDefault="00EA7523" w:rsidP="00810984">
      <w:pPr>
        <w:pStyle w:val="Normal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14:paraId="5D3B3AA6" w14:textId="77777777" w:rsidR="00EA7523" w:rsidRDefault="00EA7523" w:rsidP="00810984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4445C8C6" w14:textId="77777777" w:rsidR="00EA7523" w:rsidRDefault="00EA7523" w:rsidP="00810984">
      <w:pPr>
        <w:pStyle w:val="NormalWeb"/>
        <w:jc w:val="both"/>
        <w:rPr>
          <w:rFonts w:ascii="Arial" w:hAnsi="Arial" w:cs="Arial"/>
          <w:sz w:val="24"/>
          <w:szCs w:val="24"/>
        </w:rPr>
      </w:pPr>
    </w:p>
    <w:p w14:paraId="36A1645B" w14:textId="44341EEF" w:rsidR="00BC44E2" w:rsidRPr="00810984" w:rsidRDefault="00EA7523" w:rsidP="00810984">
      <w:pPr>
        <w:pStyle w:val="NormalWe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 SALUD MUNICIPAL PEREIRA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14:paraId="6893B732" w14:textId="77777777" w:rsidR="00F67DBB" w:rsidRPr="00810984" w:rsidRDefault="00F67DBB" w:rsidP="00810984">
      <w:pPr>
        <w:jc w:val="both"/>
        <w:rPr>
          <w:rFonts w:ascii="Arial" w:hAnsi="Arial" w:cs="Arial"/>
        </w:rPr>
      </w:pPr>
    </w:p>
    <w:sectPr w:rsidR="00F67DBB" w:rsidRPr="00810984" w:rsidSect="00987D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A2E63"/>
    <w:multiLevelType w:val="hybridMultilevel"/>
    <w:tmpl w:val="7C9AAE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1B"/>
    <w:rsid w:val="00100B1B"/>
    <w:rsid w:val="001F0529"/>
    <w:rsid w:val="002A6528"/>
    <w:rsid w:val="004B1E68"/>
    <w:rsid w:val="00526F32"/>
    <w:rsid w:val="005F0D42"/>
    <w:rsid w:val="00810984"/>
    <w:rsid w:val="00987D12"/>
    <w:rsid w:val="009A0580"/>
    <w:rsid w:val="00BC44E2"/>
    <w:rsid w:val="00BD5261"/>
    <w:rsid w:val="00C67D36"/>
    <w:rsid w:val="00DB57CF"/>
    <w:rsid w:val="00EA7523"/>
    <w:rsid w:val="00F04D17"/>
    <w:rsid w:val="00F2611E"/>
    <w:rsid w:val="00F6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5F7E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D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526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DB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52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804</Words>
  <Characters>4428</Characters>
  <Application>Microsoft Macintosh Word</Application>
  <DocSecurity>0</DocSecurity>
  <Lines>36</Lines>
  <Paragraphs>10</Paragraphs>
  <ScaleCrop>false</ScaleCrop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7</cp:revision>
  <dcterms:created xsi:type="dcterms:W3CDTF">2019-10-15T09:24:00Z</dcterms:created>
  <dcterms:modified xsi:type="dcterms:W3CDTF">2019-10-22T14:41:00Z</dcterms:modified>
</cp:coreProperties>
</file>