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DFB2" w14:textId="77777777" w:rsidR="00954D5A" w:rsidRDefault="00954D5A">
      <w:pPr>
        <w:widowControl w:val="0"/>
        <w:pBdr>
          <w:top w:val="nil"/>
          <w:left w:val="nil"/>
          <w:bottom w:val="nil"/>
          <w:right w:val="nil"/>
          <w:between w:val="nil"/>
        </w:pBdr>
        <w:spacing w:line="276" w:lineRule="auto"/>
      </w:pPr>
    </w:p>
    <w:p w14:paraId="56155487" w14:textId="77777777" w:rsidR="00954D5A" w:rsidRDefault="00954D5A">
      <w:pPr>
        <w:widowControl w:val="0"/>
        <w:pBdr>
          <w:top w:val="nil"/>
          <w:left w:val="nil"/>
          <w:bottom w:val="nil"/>
          <w:right w:val="nil"/>
          <w:between w:val="nil"/>
        </w:pBdr>
        <w:spacing w:line="276" w:lineRule="auto"/>
      </w:pPr>
    </w:p>
    <w:p w14:paraId="0B58A6F9" w14:textId="77777777" w:rsidR="00954D5A" w:rsidRDefault="00954D5A">
      <w:pPr>
        <w:widowControl w:val="0"/>
        <w:pBdr>
          <w:top w:val="nil"/>
          <w:left w:val="nil"/>
          <w:bottom w:val="nil"/>
          <w:right w:val="nil"/>
          <w:between w:val="nil"/>
        </w:pBdr>
        <w:spacing w:line="276" w:lineRule="auto"/>
      </w:pPr>
    </w:p>
    <w:p w14:paraId="630A5AEC"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La Secretaría de Salud Pública y Seguridad Social de Pereira</w:t>
      </w:r>
      <w:r>
        <w:rPr>
          <w:rFonts w:ascii="Arial" w:eastAsia="Arial" w:hAnsi="Arial" w:cs="Arial"/>
          <w:color w:val="000000"/>
          <w:sz w:val="24"/>
          <w:szCs w:val="24"/>
        </w:rPr>
        <w:t xml:space="preserve">, en uso de sus facultades Constitucionales, Legales y en especial las conferidas por la Ley 9 de 1979, Decreto 1575 del 09 de mayo de 2007 del Ministerio de Protección Social, la Resolución 2115 del 22 de junio de 2007, Resolución 4716 del 18 de </w:t>
      </w:r>
      <w:proofErr w:type="gramStart"/>
      <w:r>
        <w:rPr>
          <w:rFonts w:ascii="Arial" w:eastAsia="Arial" w:hAnsi="Arial" w:cs="Arial"/>
          <w:color w:val="000000"/>
          <w:sz w:val="24"/>
          <w:szCs w:val="24"/>
        </w:rPr>
        <w:t>Noviembre</w:t>
      </w:r>
      <w:proofErr w:type="gramEnd"/>
      <w:r>
        <w:rPr>
          <w:rFonts w:ascii="Arial" w:eastAsia="Arial" w:hAnsi="Arial" w:cs="Arial"/>
          <w:color w:val="000000"/>
          <w:sz w:val="24"/>
          <w:szCs w:val="24"/>
        </w:rPr>
        <w:t xml:space="preserve"> de 2010, expedidas por el Ministerio de Protección Social y Ambiente, Vivienda y Desarrollo Territorial, Ley 715 del 21 de diciembre de 2001, y</w:t>
      </w:r>
    </w:p>
    <w:p w14:paraId="1F4EFFFB" w14:textId="77777777" w:rsidR="00954D5A" w:rsidRDefault="00954D5A">
      <w:pPr>
        <w:rPr>
          <w:rFonts w:ascii="Arial" w:eastAsia="Arial" w:hAnsi="Arial" w:cs="Arial"/>
          <w:sz w:val="24"/>
          <w:szCs w:val="24"/>
        </w:rPr>
      </w:pPr>
    </w:p>
    <w:p w14:paraId="34BEF768" w14:textId="77777777" w:rsidR="00954D5A" w:rsidRDefault="006144D3">
      <w:pPr>
        <w:jc w:val="center"/>
        <w:rPr>
          <w:rFonts w:ascii="Arial" w:eastAsia="Arial" w:hAnsi="Arial" w:cs="Arial"/>
          <w:sz w:val="24"/>
          <w:szCs w:val="24"/>
        </w:rPr>
      </w:pPr>
      <w:r>
        <w:rPr>
          <w:rFonts w:ascii="Arial" w:eastAsia="Arial" w:hAnsi="Arial" w:cs="Arial"/>
          <w:b/>
          <w:color w:val="000000"/>
          <w:sz w:val="24"/>
          <w:szCs w:val="24"/>
        </w:rPr>
        <w:t>CONSIDERANDO:</w:t>
      </w:r>
    </w:p>
    <w:p w14:paraId="1D26259A" w14:textId="77777777" w:rsidR="00954D5A" w:rsidRDefault="00954D5A">
      <w:pPr>
        <w:jc w:val="right"/>
        <w:rPr>
          <w:rFonts w:ascii="Arial" w:eastAsia="Arial" w:hAnsi="Arial" w:cs="Arial"/>
          <w:sz w:val="24"/>
          <w:szCs w:val="24"/>
        </w:rPr>
      </w:pPr>
    </w:p>
    <w:p w14:paraId="5B7D5019" w14:textId="77777777" w:rsidR="00954D5A" w:rsidRDefault="006144D3">
      <w:pPr>
        <w:jc w:val="both"/>
        <w:rPr>
          <w:rFonts w:ascii="Arial" w:eastAsia="Arial" w:hAnsi="Arial" w:cs="Arial"/>
          <w:color w:val="3A3939"/>
          <w:sz w:val="24"/>
          <w:szCs w:val="24"/>
        </w:rPr>
      </w:pPr>
      <w:r>
        <w:rPr>
          <w:rFonts w:ascii="Arial" w:eastAsia="Arial" w:hAnsi="Arial" w:cs="Arial"/>
          <w:color w:val="000000"/>
          <w:sz w:val="24"/>
          <w:szCs w:val="24"/>
        </w:rPr>
        <w:t>Que la ley 9 de 1979, establece el control sanitario de los usos del agua teniendo en cuenta varias opciones entre las que se enuncian el consumo humano y el doméstico,</w:t>
      </w:r>
      <w:r>
        <w:rPr>
          <w:rFonts w:ascii="Arial" w:eastAsia="Arial" w:hAnsi="Arial" w:cs="Arial"/>
          <w:color w:val="3A3939"/>
          <w:sz w:val="24"/>
          <w:szCs w:val="24"/>
        </w:rPr>
        <w:t xml:space="preserve"> señalando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7176B009" w14:textId="77777777" w:rsidR="00954D5A" w:rsidRDefault="00954D5A">
      <w:pPr>
        <w:jc w:val="both"/>
        <w:rPr>
          <w:rFonts w:ascii="Arial" w:eastAsia="Arial" w:hAnsi="Arial" w:cs="Arial"/>
          <w:color w:val="3A3939"/>
          <w:sz w:val="24"/>
          <w:szCs w:val="24"/>
        </w:rPr>
      </w:pPr>
    </w:p>
    <w:p w14:paraId="714C4B1E" w14:textId="77777777" w:rsidR="00954D5A" w:rsidRDefault="006144D3">
      <w:pPr>
        <w:spacing w:after="119"/>
        <w:jc w:val="both"/>
        <w:rPr>
          <w:rFonts w:ascii="Arial" w:eastAsia="Arial" w:hAnsi="Arial" w:cs="Arial"/>
          <w:sz w:val="24"/>
          <w:szCs w:val="24"/>
        </w:rPr>
      </w:pPr>
      <w:r>
        <w:rPr>
          <w:rFonts w:ascii="Arial" w:eastAsia="Arial" w:hAnsi="Arial" w:cs="Arial"/>
          <w:color w:val="000000"/>
          <w:sz w:val="24"/>
          <w:szCs w:val="24"/>
        </w:rPr>
        <w:t>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16EAB5DD" w14:textId="77777777" w:rsidR="00954D5A" w:rsidRDefault="006144D3">
      <w:pPr>
        <w:spacing w:after="119"/>
        <w:jc w:val="both"/>
        <w:rPr>
          <w:rFonts w:ascii="Arial" w:eastAsia="Arial" w:hAnsi="Arial" w:cs="Arial"/>
          <w:sz w:val="24"/>
          <w:szCs w:val="24"/>
        </w:rPr>
      </w:pPr>
      <w:r>
        <w:rPr>
          <w:rFonts w:ascii="Arial" w:eastAsia="Arial" w:hAnsi="Arial" w:cs="Arial"/>
          <w:color w:val="000000"/>
          <w:sz w:val="24"/>
          <w:szCs w:val="24"/>
        </w:rPr>
        <w:t xml:space="preserve">Que el Decreto 1575 de </w:t>
      </w:r>
      <w:proofErr w:type="gramStart"/>
      <w:r>
        <w:rPr>
          <w:rFonts w:ascii="Arial" w:eastAsia="Arial" w:hAnsi="Arial" w:cs="Arial"/>
          <w:color w:val="000000"/>
          <w:sz w:val="24"/>
          <w:szCs w:val="24"/>
        </w:rPr>
        <w:t>Mayo</w:t>
      </w:r>
      <w:proofErr w:type="gramEnd"/>
      <w:r>
        <w:rPr>
          <w:rFonts w:ascii="Arial" w:eastAsia="Arial" w:hAnsi="Arial" w:cs="Arial"/>
          <w:color w:val="000000"/>
          <w:sz w:val="24"/>
          <w:szCs w:val="24"/>
        </w:rPr>
        <w:t xml:space="preserve"> 9 de 2007, por el cual se establece el Sistema para la Protección y Control de la Calidad del Agua para Consumo Humano, establece en su artículo </w:t>
      </w:r>
      <w:r>
        <w:rPr>
          <w:rFonts w:ascii="Arial" w:eastAsia="Arial" w:hAnsi="Arial" w:cs="Arial"/>
          <w:b/>
          <w:color w:val="000000"/>
          <w:sz w:val="24"/>
          <w:szCs w:val="24"/>
        </w:rPr>
        <w:t xml:space="preserve">8o.- “RESPONSABILIDAD DE LAS DIRECCIONES DEPARTAMENTALES, DISTRITALES Y MUNICIPALES DE SALUD. </w:t>
      </w:r>
      <w:r>
        <w:rPr>
          <w:rFonts w:ascii="Arial" w:eastAsia="Arial" w:hAnsi="Arial" w:cs="Arial"/>
          <w:color w:val="000000"/>
          <w:sz w:val="24"/>
          <w:szCs w:val="24"/>
        </w:rPr>
        <w:t>Las direcciones territoriales de salud como autoridades sanitarias de los departamentos, distritos y municipios, ejercerán la vigilancia sobre la calidad del agua para consumo humano. Para ello desarrollarán las siguientes acciones: </w:t>
      </w:r>
    </w:p>
    <w:p w14:paraId="454F8B6B" w14:textId="77777777" w:rsidR="00954D5A" w:rsidRDefault="006144D3">
      <w:pPr>
        <w:spacing w:after="119"/>
        <w:ind w:left="360"/>
        <w:jc w:val="both"/>
        <w:rPr>
          <w:rFonts w:ascii="Arial" w:eastAsia="Arial" w:hAnsi="Arial" w:cs="Arial"/>
          <w:color w:val="000000"/>
          <w:sz w:val="24"/>
          <w:szCs w:val="24"/>
        </w:rPr>
      </w:pPr>
      <w:r>
        <w:rPr>
          <w:rFonts w:ascii="Arial" w:eastAsia="Arial" w:hAnsi="Arial" w:cs="Arial"/>
          <w:color w:val="000000"/>
          <w:sz w:val="24"/>
          <w:szCs w:val="24"/>
        </w:rPr>
        <w:t>“…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17A46130" w14:textId="77777777" w:rsidR="00954D5A" w:rsidRDefault="00954D5A">
      <w:pPr>
        <w:spacing w:after="119"/>
        <w:ind w:left="360"/>
        <w:jc w:val="both"/>
        <w:rPr>
          <w:rFonts w:ascii="Arial" w:eastAsia="Arial" w:hAnsi="Arial" w:cs="Arial"/>
          <w:sz w:val="24"/>
          <w:szCs w:val="24"/>
        </w:rPr>
      </w:pPr>
    </w:p>
    <w:p w14:paraId="183135B2" w14:textId="77777777" w:rsidR="00954D5A" w:rsidRDefault="006144D3">
      <w:pPr>
        <w:spacing w:after="119"/>
        <w:ind w:left="360"/>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PARÁGRAFO 1. </w:t>
      </w:r>
      <w:r>
        <w:rPr>
          <w:rFonts w:ascii="Arial" w:eastAsia="Arial" w:hAnsi="Arial" w:cs="Arial"/>
          <w:color w:val="000000"/>
          <w:sz w:val="24"/>
          <w:szCs w:val="24"/>
        </w:rPr>
        <w:t xml:space="preserve">Los Ministerios de la Protección Social y de Ambiente, Vivienda y Desarrollo Territorial expedirán el acto administrativo dirigido a regular </w:t>
      </w:r>
      <w:r>
        <w:rPr>
          <w:rFonts w:ascii="Arial" w:eastAsia="Arial" w:hAnsi="Arial" w:cs="Arial"/>
          <w:color w:val="000000"/>
          <w:sz w:val="24"/>
          <w:szCs w:val="24"/>
        </w:rPr>
        <w:lastRenderedPageBreak/>
        <w:t>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32E5BD8A" w14:textId="77777777" w:rsidR="00954D5A" w:rsidRDefault="00954D5A">
      <w:pPr>
        <w:rPr>
          <w:rFonts w:ascii="Arial" w:eastAsia="Arial" w:hAnsi="Arial" w:cs="Arial"/>
          <w:sz w:val="24"/>
          <w:szCs w:val="24"/>
        </w:rPr>
      </w:pPr>
    </w:p>
    <w:p w14:paraId="32A522BD" w14:textId="77777777" w:rsidR="00954D5A" w:rsidRDefault="006144D3">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w:t>
      </w:r>
      <w:r>
        <w:rPr>
          <w:rFonts w:ascii="Arial" w:eastAsia="Arial" w:hAnsi="Arial" w:cs="Arial"/>
          <w:sz w:val="24"/>
          <w:szCs w:val="24"/>
        </w:rPr>
        <w:t>y</w:t>
      </w:r>
      <w:r>
        <w:rPr>
          <w:rFonts w:ascii="Arial" w:eastAsia="Arial" w:hAnsi="Arial" w:cs="Arial"/>
          <w:color w:val="000000"/>
          <w:sz w:val="24"/>
          <w:szCs w:val="24"/>
        </w:rPr>
        <w:t xml:space="preserve"> Seguridad Social Municipal de Pereira, es la entidad competente para expedir el acto administrativo mediante el cual se adopta el Mapa de Riesgo de la Calidad del Agua para el Consumo Humano, conforme a lo establecido en el artículo 4, 5 y 8 de la mencionada Resolución 4716 de noviembre 18 de 2010.</w:t>
      </w:r>
    </w:p>
    <w:p w14:paraId="04326AB4" w14:textId="77777777" w:rsidR="00954D5A" w:rsidRDefault="00954D5A">
      <w:pPr>
        <w:rPr>
          <w:rFonts w:ascii="Arial" w:eastAsia="Arial" w:hAnsi="Arial" w:cs="Arial"/>
          <w:sz w:val="24"/>
          <w:szCs w:val="24"/>
        </w:rPr>
      </w:pPr>
    </w:p>
    <w:p w14:paraId="1D343E27" w14:textId="77777777" w:rsidR="00954D5A" w:rsidRDefault="006144D3">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ejerce la 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784131EF" w14:textId="77777777" w:rsidR="00954D5A" w:rsidRDefault="00954D5A">
      <w:pPr>
        <w:rPr>
          <w:rFonts w:ascii="Arial" w:eastAsia="Arial" w:hAnsi="Arial" w:cs="Arial"/>
          <w:sz w:val="24"/>
          <w:szCs w:val="24"/>
        </w:rPr>
      </w:pPr>
    </w:p>
    <w:p w14:paraId="7825A0DF" w14:textId="77777777" w:rsidR="00954D5A" w:rsidRDefault="006144D3">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y Seguridad Social de Pereira, después de realizar las acciones para la elaboración del mapa de riesgo a la </w:t>
      </w:r>
      <w:r>
        <w:rPr>
          <w:rFonts w:ascii="Arial" w:eastAsia="Arial" w:hAnsi="Arial" w:cs="Arial"/>
          <w:b/>
          <w:sz w:val="24"/>
          <w:szCs w:val="24"/>
        </w:rPr>
        <w:t>JUNTA DE ACCIÓN COMUNAL PÉREZ BAJO</w:t>
      </w:r>
      <w:r>
        <w:rPr>
          <w:rFonts w:ascii="Arial" w:eastAsia="Arial" w:hAnsi="Arial" w:cs="Arial"/>
          <w:color w:val="000000"/>
          <w:sz w:val="24"/>
          <w:szCs w:val="24"/>
        </w:rPr>
        <w:t xml:space="preserve"> de la jurisdicción de Pereira, durante la vigencia del año 2021, y evaluar la información y análisis del agua, se encontró:</w:t>
      </w:r>
    </w:p>
    <w:p w14:paraId="56997F60" w14:textId="77777777" w:rsidR="00954D5A" w:rsidRDefault="00954D5A">
      <w:pPr>
        <w:rPr>
          <w:rFonts w:ascii="Arial" w:eastAsia="Arial" w:hAnsi="Arial" w:cs="Arial"/>
          <w:sz w:val="24"/>
          <w:szCs w:val="24"/>
        </w:rPr>
      </w:pPr>
    </w:p>
    <w:p w14:paraId="59B86329" w14:textId="77777777" w:rsidR="00954D5A" w:rsidRDefault="006144D3">
      <w:pPr>
        <w:numPr>
          <w:ilvl w:val="0"/>
          <w:numId w:val="2"/>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sz w:val="24"/>
          <w:szCs w:val="24"/>
        </w:rPr>
        <w:t>JUNTA DE ACCIÓN COMUNAL PÉREZ BAJO</w:t>
      </w:r>
      <w:r>
        <w:rPr>
          <w:rFonts w:ascii="Arial" w:eastAsia="Arial" w:hAnsi="Arial" w:cs="Arial"/>
          <w:b/>
          <w:color w:val="000000"/>
          <w:sz w:val="24"/>
          <w:szCs w:val="24"/>
          <w:highlight w:val="white"/>
        </w:rPr>
        <w:t>:</w:t>
      </w:r>
      <w:r>
        <w:rPr>
          <w:rFonts w:ascii="Arial" w:eastAsia="Arial" w:hAnsi="Arial" w:cs="Arial"/>
          <w:color w:val="000000"/>
          <w:sz w:val="24"/>
          <w:szCs w:val="24"/>
        </w:rPr>
        <w:t xml:space="preserve"> Con base en el acta de inspección ocular </w:t>
      </w:r>
      <w:r>
        <w:rPr>
          <w:rFonts w:ascii="Arial" w:eastAsia="Arial" w:hAnsi="Arial" w:cs="Arial"/>
          <w:b/>
          <w:sz w:val="24"/>
          <w:szCs w:val="24"/>
          <w:u w:val="single"/>
        </w:rPr>
        <w:t>DMS012</w:t>
      </w:r>
      <w:r>
        <w:rPr>
          <w:rFonts w:ascii="Arial" w:eastAsia="Arial" w:hAnsi="Arial" w:cs="Arial"/>
          <w:b/>
          <w:color w:val="000000"/>
          <w:sz w:val="24"/>
          <w:szCs w:val="24"/>
          <w:u w:val="single"/>
        </w:rPr>
        <w:t>-21 del 2</w:t>
      </w:r>
      <w:r>
        <w:rPr>
          <w:rFonts w:ascii="Arial" w:eastAsia="Arial" w:hAnsi="Arial" w:cs="Arial"/>
          <w:b/>
          <w:sz w:val="24"/>
          <w:szCs w:val="24"/>
          <w:u w:val="single"/>
        </w:rPr>
        <w:t>0</w:t>
      </w:r>
      <w:r>
        <w:rPr>
          <w:rFonts w:ascii="Arial" w:eastAsia="Arial" w:hAnsi="Arial" w:cs="Arial"/>
          <w:b/>
          <w:color w:val="000000"/>
          <w:sz w:val="24"/>
          <w:szCs w:val="24"/>
          <w:u w:val="single"/>
        </w:rPr>
        <w:t xml:space="preserve"> de </w:t>
      </w:r>
      <w:r>
        <w:rPr>
          <w:rFonts w:ascii="Arial" w:eastAsia="Arial" w:hAnsi="Arial" w:cs="Arial"/>
          <w:b/>
          <w:sz w:val="24"/>
          <w:szCs w:val="24"/>
          <w:u w:val="single"/>
        </w:rPr>
        <w:t xml:space="preserve">abril </w:t>
      </w:r>
      <w:r>
        <w:rPr>
          <w:rFonts w:ascii="Arial" w:eastAsia="Arial" w:hAnsi="Arial" w:cs="Arial"/>
          <w:b/>
          <w:color w:val="000000"/>
          <w:sz w:val="24"/>
          <w:szCs w:val="24"/>
          <w:u w:val="single"/>
        </w:rPr>
        <w:t xml:space="preserve">del 2021 </w:t>
      </w:r>
      <w:r>
        <w:rPr>
          <w:rFonts w:ascii="Arial" w:eastAsia="Arial" w:hAnsi="Arial" w:cs="Arial"/>
          <w:color w:val="000000"/>
          <w:sz w:val="24"/>
          <w:szCs w:val="24"/>
        </w:rPr>
        <w:t xml:space="preserve">se elaboró el anexo técnico I, donde se indica que al momento de la visita las condiciones del agua en fuente abastecedora </w:t>
      </w:r>
      <w:r>
        <w:rPr>
          <w:rFonts w:ascii="Arial" w:eastAsia="Arial" w:hAnsi="Arial" w:cs="Arial"/>
          <w:sz w:val="22"/>
          <w:szCs w:val="22"/>
        </w:rPr>
        <w:t>Quebrada El Brillante, la microcuenca posee una geomorfología dominada por colinas pronunciadas. La bocatoma del acueducto se encuentra ubicada en zonas de bosque secundario con cobertura vegetal y estratos arbustivos necesarios para la conservación de las mismas. No hay evidencia de fenómenos de remoción de masa.</w:t>
      </w:r>
    </w:p>
    <w:p w14:paraId="11C0FB35" w14:textId="77777777" w:rsidR="00954D5A" w:rsidRDefault="006144D3">
      <w:pPr>
        <w:pBdr>
          <w:top w:val="nil"/>
          <w:left w:val="nil"/>
          <w:bottom w:val="nil"/>
          <w:right w:val="nil"/>
          <w:between w:val="nil"/>
        </w:pBdr>
        <w:spacing w:after="240"/>
        <w:ind w:left="720"/>
        <w:jc w:val="both"/>
        <w:rPr>
          <w:rFonts w:ascii="Arial" w:eastAsia="Arial" w:hAnsi="Arial" w:cs="Arial"/>
          <w:sz w:val="22"/>
          <w:szCs w:val="22"/>
        </w:rPr>
      </w:pPr>
      <w:r>
        <w:rPr>
          <w:rFonts w:ascii="Arial" w:eastAsia="Arial" w:hAnsi="Arial" w:cs="Arial"/>
          <w:sz w:val="22"/>
          <w:szCs w:val="22"/>
        </w:rPr>
        <w:t xml:space="preserve">En la parte media y alta de la zona de influencia luego de la franja de protección en guadua y bosque en regeneración se encuentran pastizales para ganadería en menor extensión sin presencia de viviendas. En la presente actualización de acuerdo a lo manifestado en campo y los hallazgos efectuados durante la </w:t>
      </w:r>
      <w:proofErr w:type="gramStart"/>
      <w:r>
        <w:rPr>
          <w:rFonts w:ascii="Arial" w:eastAsia="Arial" w:hAnsi="Arial" w:cs="Arial"/>
          <w:sz w:val="22"/>
          <w:szCs w:val="22"/>
        </w:rPr>
        <w:t>visita,  el</w:t>
      </w:r>
      <w:proofErr w:type="gramEnd"/>
      <w:r>
        <w:rPr>
          <w:rFonts w:ascii="Arial" w:eastAsia="Arial" w:hAnsi="Arial" w:cs="Arial"/>
          <w:sz w:val="22"/>
          <w:szCs w:val="22"/>
        </w:rPr>
        <w:t xml:space="preserve"> cultivo de café asociado con plátano se encuentra en proceso de transición por lo que se encuentran zonas podadas. </w:t>
      </w:r>
    </w:p>
    <w:p w14:paraId="3371D587" w14:textId="77777777" w:rsidR="00954D5A" w:rsidRDefault="006144D3">
      <w:pPr>
        <w:ind w:left="720"/>
        <w:jc w:val="both"/>
        <w:rPr>
          <w:rFonts w:ascii="Arial" w:eastAsia="Arial" w:hAnsi="Arial" w:cs="Arial"/>
          <w:sz w:val="22"/>
          <w:szCs w:val="22"/>
        </w:rPr>
      </w:pPr>
      <w:r>
        <w:rPr>
          <w:rFonts w:ascii="Arial" w:eastAsia="Arial" w:hAnsi="Arial" w:cs="Arial"/>
          <w:sz w:val="22"/>
          <w:szCs w:val="22"/>
        </w:rPr>
        <w:t xml:space="preserve">La Matriz de Evaluación de Impacto Ambiental permite observar cómo la oferta hídrica y la calidad del recurso hídrico se ven en buenas condiciones, las compactaciones del suelo por el peso del ganado y las heces del mismo, pueden ser los únicos condicionantes de la calidad del recurso. De conformidad con la información disponible obtenida mediante </w:t>
      </w:r>
      <w:r>
        <w:rPr>
          <w:rFonts w:ascii="ArialMT" w:eastAsia="ArialMT" w:hAnsi="ArialMT" w:cs="ArialMT"/>
          <w:sz w:val="22"/>
          <w:szCs w:val="22"/>
        </w:rPr>
        <w:t xml:space="preserve">SIAE. </w:t>
      </w:r>
      <w:r>
        <w:rPr>
          <w:rFonts w:ascii="Arial" w:eastAsia="Arial" w:hAnsi="Arial" w:cs="Arial"/>
          <w:sz w:val="22"/>
          <w:szCs w:val="22"/>
        </w:rPr>
        <w:t>CARDER, 2016. Se puede identificar un conflicto de uso.</w:t>
      </w:r>
    </w:p>
    <w:p w14:paraId="31197B81" w14:textId="77777777" w:rsidR="00954D5A" w:rsidRDefault="00954D5A">
      <w:pPr>
        <w:ind w:left="720"/>
        <w:jc w:val="both"/>
        <w:rPr>
          <w:rFonts w:ascii="Arial" w:eastAsia="Arial" w:hAnsi="Arial" w:cs="Arial"/>
          <w:sz w:val="22"/>
          <w:szCs w:val="22"/>
        </w:rPr>
      </w:pPr>
    </w:p>
    <w:p w14:paraId="39A3C713" w14:textId="77777777" w:rsidR="00954D5A" w:rsidRDefault="006144D3">
      <w:pPr>
        <w:spacing w:after="11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Que la Resolución 2115 del 22 de junio de 2007, </w:t>
      </w:r>
      <w:r>
        <w:rPr>
          <w:rFonts w:ascii="Arial" w:eastAsia="Arial" w:hAnsi="Arial" w:cs="Arial"/>
          <w:sz w:val="24"/>
          <w:szCs w:val="24"/>
        </w:rPr>
        <w:t>señalan</w:t>
      </w:r>
      <w:r>
        <w:rPr>
          <w:rFonts w:ascii="Arial" w:eastAsia="Arial" w:hAnsi="Arial" w:cs="Arial"/>
          <w:color w:val="000000"/>
          <w:sz w:val="24"/>
          <w:szCs w:val="24"/>
        </w:rPr>
        <w:t xml:space="preserve">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5B18FB1E" w14:textId="77777777" w:rsidR="00954D5A" w:rsidRDefault="00954D5A">
      <w:pPr>
        <w:spacing w:after="119"/>
        <w:jc w:val="both"/>
        <w:rPr>
          <w:rFonts w:ascii="Arial" w:eastAsia="Arial" w:hAnsi="Arial" w:cs="Arial"/>
          <w:sz w:val="24"/>
          <w:szCs w:val="24"/>
        </w:rPr>
      </w:pPr>
    </w:p>
    <w:p w14:paraId="68669838" w14:textId="77777777" w:rsidR="00954D5A" w:rsidRDefault="006144D3">
      <w:pPr>
        <w:spacing w:after="119"/>
        <w:jc w:val="both"/>
        <w:rPr>
          <w:rFonts w:ascii="Arial" w:eastAsia="Arial" w:hAnsi="Arial" w:cs="Arial"/>
          <w:sz w:val="24"/>
          <w:szCs w:val="24"/>
        </w:rPr>
      </w:pPr>
      <w:r>
        <w:rPr>
          <w:rFonts w:ascii="Arial" w:eastAsia="Arial" w:hAnsi="Arial" w:cs="Arial"/>
          <w:b/>
          <w:color w:val="000000"/>
          <w:sz w:val="24"/>
          <w:szCs w:val="24"/>
        </w:rPr>
        <w:t xml:space="preserve">Que el </w:t>
      </w:r>
      <w:r>
        <w:rPr>
          <w:rFonts w:ascii="Arial" w:eastAsia="Arial" w:hAnsi="Arial" w:cs="Arial"/>
          <w:color w:val="000000"/>
          <w:sz w:val="24"/>
          <w:szCs w:val="24"/>
        </w:rPr>
        <w:t xml:space="preserve">Decreto 1575 de </w:t>
      </w:r>
      <w:proofErr w:type="gramStart"/>
      <w:r>
        <w:rPr>
          <w:rFonts w:ascii="Arial" w:eastAsia="Arial" w:hAnsi="Arial" w:cs="Arial"/>
          <w:color w:val="000000"/>
          <w:sz w:val="24"/>
          <w:szCs w:val="24"/>
        </w:rPr>
        <w:t>Mayo</w:t>
      </w:r>
      <w:proofErr w:type="gramEnd"/>
      <w:r>
        <w:rPr>
          <w:rFonts w:ascii="Arial" w:eastAsia="Arial" w:hAnsi="Arial" w:cs="Arial"/>
          <w:color w:val="000000"/>
          <w:sz w:val="24"/>
          <w:szCs w:val="24"/>
        </w:rPr>
        <w:t xml:space="preserve"> 9 de 2007</w:t>
      </w:r>
      <w:r>
        <w:rPr>
          <w:rFonts w:ascii="Arial" w:eastAsia="Arial" w:hAnsi="Arial" w:cs="Arial"/>
          <w:b/>
          <w:color w:val="000000"/>
          <w:sz w:val="24"/>
          <w:szCs w:val="24"/>
        </w:rPr>
        <w:t xml:space="preserve">, en su artículo 15, 16 y 28, establece una obligación para la autoridad sanitaria, </w:t>
      </w:r>
      <w:r>
        <w:rPr>
          <w:rFonts w:ascii="Arial" w:eastAsia="Arial" w:hAnsi="Arial" w:cs="Arial"/>
          <w:color w:val="000000"/>
          <w:sz w:val="24"/>
          <w:szCs w:val="24"/>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Arial" w:eastAsia="Arial" w:hAnsi="Arial" w:cs="Arial"/>
          <w:sz w:val="24"/>
          <w:szCs w:val="24"/>
        </w:rPr>
        <w:t>Secretarías</w:t>
      </w:r>
      <w:r>
        <w:rPr>
          <w:rFonts w:ascii="Arial" w:eastAsia="Arial" w:hAnsi="Arial" w:cs="Arial"/>
          <w:color w:val="000000"/>
          <w:sz w:val="24"/>
          <w:szCs w:val="24"/>
        </w:rPr>
        <w:t xml:space="preserve"> de Planeación Municipal, según las normas legales vigentes. </w:t>
      </w:r>
    </w:p>
    <w:p w14:paraId="42EA92E1" w14:textId="77777777" w:rsidR="00954D5A" w:rsidRDefault="006144D3">
      <w:pPr>
        <w:jc w:val="both"/>
        <w:rPr>
          <w:rFonts w:ascii="Arial" w:eastAsia="Arial" w:hAnsi="Arial" w:cs="Arial"/>
          <w:sz w:val="24"/>
          <w:szCs w:val="24"/>
        </w:rPr>
      </w:pPr>
      <w:r>
        <w:rPr>
          <w:rFonts w:ascii="Arial" w:eastAsia="Arial" w:hAnsi="Arial" w:cs="Arial"/>
          <w:color w:val="000000"/>
          <w:sz w:val="24"/>
          <w:szCs w:val="24"/>
        </w:rPr>
        <w:t>Que en el presente acto administrativo se tendrán como definiciones para comprender el alcance de la presente Resolución los siguientes conceptos:</w:t>
      </w:r>
    </w:p>
    <w:p w14:paraId="3C11A937" w14:textId="77777777" w:rsidR="00954D5A" w:rsidRDefault="00954D5A">
      <w:pPr>
        <w:rPr>
          <w:rFonts w:ascii="Arial" w:eastAsia="Arial" w:hAnsi="Arial" w:cs="Arial"/>
          <w:sz w:val="24"/>
          <w:szCs w:val="24"/>
        </w:rPr>
      </w:pPr>
    </w:p>
    <w:p w14:paraId="0C9576E7"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MAPA DE RIESGO (calidad de agua)</w:t>
      </w:r>
      <w:r>
        <w:rPr>
          <w:rFonts w:ascii="Arial" w:eastAsia="Arial" w:hAnsi="Arial" w:cs="Arial"/>
          <w:color w:val="000000"/>
          <w:sz w:val="24"/>
          <w:szCs w:val="24"/>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5CFF402D" w14:textId="77777777" w:rsidR="00954D5A" w:rsidRDefault="00954D5A">
      <w:pPr>
        <w:rPr>
          <w:rFonts w:ascii="Arial" w:eastAsia="Arial" w:hAnsi="Arial" w:cs="Arial"/>
          <w:sz w:val="24"/>
          <w:szCs w:val="24"/>
        </w:rPr>
      </w:pPr>
    </w:p>
    <w:p w14:paraId="474DEA65"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ANÁLISIS DE RIESGO:</w:t>
      </w:r>
      <w:r>
        <w:rPr>
          <w:rFonts w:ascii="Arial" w:eastAsia="Arial" w:hAnsi="Arial" w:cs="Arial"/>
          <w:color w:val="000000"/>
          <w:sz w:val="24"/>
          <w:szCs w:val="24"/>
        </w:rPr>
        <w:t xml:space="preserve"> Un uso sistemático de la información disponible para determinar </w:t>
      </w:r>
      <w:r>
        <w:rPr>
          <w:rFonts w:ascii="Arial" w:eastAsia="Arial" w:hAnsi="Arial" w:cs="Arial"/>
          <w:sz w:val="24"/>
          <w:szCs w:val="24"/>
        </w:rPr>
        <w:t>cuán</w:t>
      </w:r>
      <w:r>
        <w:rPr>
          <w:rFonts w:ascii="Arial" w:eastAsia="Arial" w:hAnsi="Arial" w:cs="Arial"/>
          <w:color w:val="000000"/>
          <w:sz w:val="24"/>
          <w:szCs w:val="24"/>
        </w:rPr>
        <w:t xml:space="preserve"> frecuentemente </w:t>
      </w:r>
      <w:r>
        <w:rPr>
          <w:rFonts w:ascii="Arial" w:eastAsia="Arial" w:hAnsi="Arial" w:cs="Arial"/>
          <w:sz w:val="24"/>
          <w:szCs w:val="24"/>
        </w:rPr>
        <w:t>pueden</w:t>
      </w:r>
      <w:r>
        <w:rPr>
          <w:rFonts w:ascii="Arial" w:eastAsia="Arial" w:hAnsi="Arial" w:cs="Arial"/>
          <w:color w:val="000000"/>
          <w:sz w:val="24"/>
          <w:szCs w:val="24"/>
        </w:rPr>
        <w:t xml:space="preserve"> ocurrir eventos especificados y la magnitud de las consecuencias. </w:t>
      </w:r>
    </w:p>
    <w:p w14:paraId="1325FBB0" w14:textId="77777777" w:rsidR="00954D5A" w:rsidRDefault="00954D5A">
      <w:pPr>
        <w:rPr>
          <w:rFonts w:ascii="Arial" w:eastAsia="Arial" w:hAnsi="Arial" w:cs="Arial"/>
          <w:sz w:val="24"/>
          <w:szCs w:val="24"/>
        </w:rPr>
      </w:pPr>
    </w:p>
    <w:p w14:paraId="33353DFE"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PERSONAS PRESTADORAS:</w:t>
      </w:r>
      <w:r>
        <w:rPr>
          <w:rFonts w:ascii="Arial" w:eastAsia="Arial" w:hAnsi="Arial" w:cs="Arial"/>
          <w:color w:val="000000"/>
          <w:sz w:val="24"/>
          <w:szCs w:val="24"/>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1C9815D0" w14:textId="77777777" w:rsidR="00954D5A" w:rsidRDefault="00954D5A">
      <w:pPr>
        <w:rPr>
          <w:rFonts w:ascii="Arial" w:eastAsia="Arial" w:hAnsi="Arial" w:cs="Arial"/>
          <w:sz w:val="24"/>
          <w:szCs w:val="24"/>
        </w:rPr>
      </w:pPr>
    </w:p>
    <w:p w14:paraId="11898C8E"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FUENTE DE ABASTECIMIENTO</w:t>
      </w:r>
      <w:r>
        <w:rPr>
          <w:rFonts w:ascii="Arial" w:eastAsia="Arial" w:hAnsi="Arial" w:cs="Arial"/>
          <w:color w:val="000000"/>
          <w:sz w:val="24"/>
          <w:szCs w:val="24"/>
        </w:rPr>
        <w:t xml:space="preserve">: Depósito o curso de aguas </w:t>
      </w:r>
      <w:r>
        <w:rPr>
          <w:rFonts w:ascii="Arial" w:eastAsia="Arial" w:hAnsi="Arial" w:cs="Arial"/>
          <w:sz w:val="24"/>
          <w:szCs w:val="24"/>
        </w:rPr>
        <w:t>superficiales</w:t>
      </w:r>
      <w:r>
        <w:rPr>
          <w:rFonts w:ascii="Arial" w:eastAsia="Arial" w:hAnsi="Arial" w:cs="Arial"/>
          <w:color w:val="000000"/>
          <w:sz w:val="24"/>
          <w:szCs w:val="24"/>
        </w:rPr>
        <w:t xml:space="preserve"> o </w:t>
      </w:r>
      <w:r>
        <w:rPr>
          <w:rFonts w:ascii="Arial" w:eastAsia="Arial" w:hAnsi="Arial" w:cs="Arial"/>
          <w:sz w:val="24"/>
          <w:szCs w:val="24"/>
        </w:rPr>
        <w:t>subterráneas</w:t>
      </w:r>
      <w:r>
        <w:rPr>
          <w:rFonts w:ascii="Arial" w:eastAsia="Arial" w:hAnsi="Arial" w:cs="Arial"/>
          <w:color w:val="000000"/>
          <w:sz w:val="24"/>
          <w:szCs w:val="24"/>
        </w:rPr>
        <w:t>, utilizada en un sistema de suministro a la población, bien sea de aguas atmosféricas, superficiales, subterráneas o marinas.</w:t>
      </w:r>
    </w:p>
    <w:p w14:paraId="64E1DBB5" w14:textId="77777777" w:rsidR="00954D5A" w:rsidRDefault="00954D5A">
      <w:pPr>
        <w:rPr>
          <w:rFonts w:ascii="Arial" w:eastAsia="Arial" w:hAnsi="Arial" w:cs="Arial"/>
          <w:sz w:val="24"/>
          <w:szCs w:val="24"/>
        </w:rPr>
      </w:pPr>
    </w:p>
    <w:p w14:paraId="47B68A77"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RIESGO</w:t>
      </w:r>
      <w:r>
        <w:rPr>
          <w:rFonts w:ascii="Arial" w:eastAsia="Arial" w:hAnsi="Arial" w:cs="Arial"/>
          <w:color w:val="000000"/>
          <w:sz w:val="24"/>
          <w:szCs w:val="24"/>
        </w:rPr>
        <w:t>: probabilidad de que un agente o sustancia produzca o genere una alteración a la salud como consecuencia de una exposición al mismo.</w:t>
      </w:r>
    </w:p>
    <w:p w14:paraId="40EADDA8" w14:textId="77777777" w:rsidR="00954D5A" w:rsidRDefault="00954D5A">
      <w:pPr>
        <w:rPr>
          <w:rFonts w:ascii="Arial" w:eastAsia="Arial" w:hAnsi="Arial" w:cs="Arial"/>
          <w:sz w:val="24"/>
          <w:szCs w:val="24"/>
        </w:rPr>
      </w:pPr>
    </w:p>
    <w:p w14:paraId="0D465B7D"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SISTEMA PARA LA PROTECCIÓN Y CONTROL DE LA CALIDAD DEL AGUA PARA CONSUMO HUMANO</w:t>
      </w:r>
      <w:r>
        <w:rPr>
          <w:rFonts w:ascii="Arial" w:eastAsia="Arial" w:hAnsi="Arial" w:cs="Arial"/>
          <w:color w:val="000000"/>
          <w:sz w:val="24"/>
          <w:szCs w:val="24"/>
        </w:rPr>
        <w:t>: es el conjunto de responsables, instrumentos, procesos, medidas de seguridad, recursos, características y criterios organizados entre sí para garantizar la calidad de agua para consumo humano.</w:t>
      </w:r>
    </w:p>
    <w:p w14:paraId="5F307BA3" w14:textId="77777777" w:rsidR="00954D5A" w:rsidRDefault="00954D5A">
      <w:pPr>
        <w:rPr>
          <w:rFonts w:ascii="Arial" w:eastAsia="Arial" w:hAnsi="Arial" w:cs="Arial"/>
          <w:sz w:val="24"/>
          <w:szCs w:val="24"/>
        </w:rPr>
      </w:pPr>
    </w:p>
    <w:p w14:paraId="62040304"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SISTEMA DE SUMINISTRO DE AGUA PARA CONSUMO HUMANO</w:t>
      </w:r>
      <w:r>
        <w:rPr>
          <w:rFonts w:ascii="Arial" w:eastAsia="Arial" w:hAnsi="Arial" w:cs="Arial"/>
          <w:color w:val="000000"/>
          <w:sz w:val="24"/>
          <w:szCs w:val="24"/>
        </w:rPr>
        <w:t>: es el conjunto de estructuras, equipos, materiales, procesos, operaciones y el recurso humano utilizado para la captación, aducción, pretratamiento, tratamiento, almacenamiento, conducción y distribución del agua para consumo humano.</w:t>
      </w:r>
    </w:p>
    <w:p w14:paraId="4EF49262" w14:textId="77777777" w:rsidR="00954D5A" w:rsidRDefault="00954D5A">
      <w:pPr>
        <w:rPr>
          <w:rFonts w:ascii="Arial" w:eastAsia="Arial" w:hAnsi="Arial" w:cs="Arial"/>
          <w:sz w:val="24"/>
          <w:szCs w:val="24"/>
        </w:rPr>
      </w:pPr>
    </w:p>
    <w:p w14:paraId="17A0A2F4" w14:textId="77777777" w:rsidR="00954D5A" w:rsidRDefault="006144D3">
      <w:pPr>
        <w:jc w:val="both"/>
        <w:rPr>
          <w:rFonts w:ascii="Arial" w:eastAsia="Arial" w:hAnsi="Arial" w:cs="Arial"/>
          <w:sz w:val="24"/>
          <w:szCs w:val="24"/>
        </w:rPr>
      </w:pPr>
      <w:r>
        <w:rPr>
          <w:rFonts w:ascii="Arial" w:eastAsia="Arial" w:hAnsi="Arial" w:cs="Arial"/>
          <w:b/>
          <w:color w:val="000000"/>
          <w:sz w:val="24"/>
          <w:szCs w:val="24"/>
        </w:rPr>
        <w:t>SUSTANCIAS POTENCIALMENTE TÓXICAS</w:t>
      </w:r>
      <w:r>
        <w:rPr>
          <w:rFonts w:ascii="Arial" w:eastAsia="Arial" w:hAnsi="Arial" w:cs="Arial"/>
          <w:color w:val="000000"/>
          <w:sz w:val="24"/>
          <w:szCs w:val="24"/>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08982CF5" w14:textId="77777777" w:rsidR="00954D5A" w:rsidRDefault="00954D5A">
      <w:pPr>
        <w:rPr>
          <w:rFonts w:ascii="Arial" w:eastAsia="Arial" w:hAnsi="Arial" w:cs="Arial"/>
          <w:sz w:val="24"/>
          <w:szCs w:val="24"/>
        </w:rPr>
      </w:pPr>
    </w:p>
    <w:p w14:paraId="51015CF7" w14:textId="77777777" w:rsidR="00954D5A" w:rsidRDefault="006144D3">
      <w:pPr>
        <w:jc w:val="both"/>
        <w:rPr>
          <w:rFonts w:ascii="Arial" w:eastAsia="Arial" w:hAnsi="Arial" w:cs="Arial"/>
          <w:color w:val="000000"/>
          <w:sz w:val="24"/>
          <w:szCs w:val="24"/>
        </w:rPr>
      </w:pPr>
      <w:r>
        <w:rPr>
          <w:rFonts w:ascii="Arial" w:eastAsia="Arial" w:hAnsi="Arial" w:cs="Arial"/>
          <w:b/>
          <w:color w:val="000000"/>
          <w:sz w:val="24"/>
          <w:szCs w:val="24"/>
        </w:rPr>
        <w:t>VIGILANCIA DE LA CALIDAD DEL AGUA PARA CONSUMO HUMANO</w:t>
      </w:r>
      <w:r>
        <w:rPr>
          <w:rFonts w:ascii="Arial" w:eastAsia="Arial" w:hAnsi="Arial" w:cs="Arial"/>
          <w:color w:val="000000"/>
          <w:sz w:val="24"/>
          <w:szCs w:val="24"/>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3C583EC8" w14:textId="77777777" w:rsidR="00954D5A" w:rsidRDefault="00954D5A">
      <w:pPr>
        <w:jc w:val="both"/>
        <w:rPr>
          <w:rFonts w:ascii="Arial" w:eastAsia="Arial" w:hAnsi="Arial" w:cs="Arial"/>
          <w:sz w:val="24"/>
          <w:szCs w:val="24"/>
        </w:rPr>
      </w:pPr>
    </w:p>
    <w:p w14:paraId="206D4A56" w14:textId="77777777" w:rsidR="00954D5A" w:rsidRDefault="006144D3">
      <w:pPr>
        <w:tabs>
          <w:tab w:val="left" w:pos="7250"/>
        </w:tabs>
        <w:jc w:val="both"/>
        <w:rPr>
          <w:rFonts w:ascii="Arial" w:eastAsia="Arial" w:hAnsi="Arial" w:cs="Arial"/>
          <w:sz w:val="24"/>
          <w:szCs w:val="24"/>
        </w:rPr>
      </w:pPr>
      <w:r>
        <w:rPr>
          <w:rFonts w:ascii="Arial" w:eastAsia="Arial" w:hAnsi="Arial" w:cs="Arial"/>
          <w:b/>
          <w:sz w:val="24"/>
          <w:szCs w:val="24"/>
        </w:rPr>
        <w:t xml:space="preserve">INICIO DEL PROCESO ADMINISTRATIVO SANCIONATORIO: </w:t>
      </w:r>
      <w:r>
        <w:rPr>
          <w:rFonts w:ascii="Arial" w:eastAsia="Arial" w:hAnsi="Arial" w:cs="Arial"/>
          <w:sz w:val="24"/>
          <w:szCs w:val="24"/>
        </w:rPr>
        <w:t>Se le hace saber al responsable que el no cumplimiento de las exigencias hechas en el anexo técnico I, acarrea el inicio de un proceso administrativo sancionatorio, toda vez que el desconocimiento de la información solicitada genera riesgos para la salud pública.</w:t>
      </w:r>
    </w:p>
    <w:p w14:paraId="1BC98A41" w14:textId="77777777" w:rsidR="00954D5A" w:rsidRDefault="00954D5A">
      <w:pPr>
        <w:jc w:val="both"/>
        <w:rPr>
          <w:rFonts w:ascii="Arial" w:eastAsia="Arial" w:hAnsi="Arial" w:cs="Arial"/>
          <w:sz w:val="24"/>
          <w:szCs w:val="24"/>
        </w:rPr>
      </w:pPr>
    </w:p>
    <w:p w14:paraId="1DC99E41" w14:textId="77777777" w:rsidR="00954D5A" w:rsidRDefault="006144D3">
      <w:pPr>
        <w:jc w:val="both"/>
        <w:rPr>
          <w:rFonts w:ascii="Arial" w:eastAsia="Arial" w:hAnsi="Arial" w:cs="Arial"/>
          <w:sz w:val="24"/>
          <w:szCs w:val="24"/>
        </w:rPr>
      </w:pPr>
      <w:r>
        <w:rPr>
          <w:rFonts w:ascii="Arial" w:eastAsia="Arial" w:hAnsi="Arial" w:cs="Arial"/>
          <w:color w:val="000000"/>
          <w:sz w:val="24"/>
          <w:szCs w:val="24"/>
        </w:rPr>
        <w:t>Que, por lo anteriormente expuesto, La Secretaría de Salud Pública y Seguridad Social de Pereira,</w:t>
      </w:r>
    </w:p>
    <w:p w14:paraId="5AC8F7C2" w14:textId="77777777" w:rsidR="00954D5A" w:rsidRDefault="00954D5A">
      <w:pPr>
        <w:spacing w:after="240"/>
        <w:rPr>
          <w:rFonts w:ascii="Arial" w:eastAsia="Arial" w:hAnsi="Arial" w:cs="Arial"/>
          <w:sz w:val="24"/>
          <w:szCs w:val="24"/>
        </w:rPr>
      </w:pPr>
    </w:p>
    <w:p w14:paraId="6AD5A6A4" w14:textId="77777777" w:rsidR="00954D5A" w:rsidRDefault="006144D3">
      <w:pPr>
        <w:jc w:val="center"/>
        <w:rPr>
          <w:rFonts w:ascii="Arial" w:eastAsia="Arial" w:hAnsi="Arial" w:cs="Arial"/>
          <w:sz w:val="24"/>
          <w:szCs w:val="24"/>
        </w:rPr>
      </w:pPr>
      <w:r>
        <w:rPr>
          <w:rFonts w:ascii="Arial" w:eastAsia="Arial" w:hAnsi="Arial" w:cs="Arial"/>
          <w:b/>
          <w:color w:val="000000"/>
          <w:sz w:val="24"/>
          <w:szCs w:val="24"/>
        </w:rPr>
        <w:t>RESUELVE</w:t>
      </w:r>
    </w:p>
    <w:p w14:paraId="2166C144" w14:textId="77777777" w:rsidR="00954D5A" w:rsidRDefault="00954D5A">
      <w:pPr>
        <w:spacing w:after="240"/>
        <w:rPr>
          <w:rFonts w:ascii="Arial" w:eastAsia="Arial" w:hAnsi="Arial" w:cs="Arial"/>
          <w:sz w:val="24"/>
          <w:szCs w:val="24"/>
        </w:rPr>
      </w:pPr>
    </w:p>
    <w:p w14:paraId="7E10FF87" w14:textId="520495D1" w:rsidR="00954D5A" w:rsidRDefault="006144D3">
      <w:pPr>
        <w:jc w:val="both"/>
        <w:rPr>
          <w:rFonts w:ascii="Arial" w:eastAsia="Arial" w:hAnsi="Arial" w:cs="Arial"/>
          <w:sz w:val="24"/>
          <w:szCs w:val="24"/>
        </w:rPr>
      </w:pPr>
      <w:r>
        <w:rPr>
          <w:rFonts w:ascii="Arial" w:eastAsia="Arial" w:hAnsi="Arial" w:cs="Arial"/>
          <w:b/>
          <w:color w:val="000000"/>
          <w:sz w:val="24"/>
          <w:szCs w:val="24"/>
          <w:highlight w:val="yellow"/>
        </w:rPr>
        <w:t>ARTÍCULO PRIMERO</w:t>
      </w:r>
      <w:r>
        <w:rPr>
          <w:rFonts w:ascii="Arial" w:eastAsia="Arial" w:hAnsi="Arial" w:cs="Arial"/>
          <w:color w:val="000000"/>
          <w:sz w:val="24"/>
          <w:szCs w:val="24"/>
          <w:highlight w:val="yellow"/>
        </w:rPr>
        <w:t xml:space="preserve">: </w:t>
      </w:r>
      <w:r>
        <w:rPr>
          <w:rFonts w:ascii="Arial" w:eastAsia="Arial" w:hAnsi="Arial" w:cs="Arial"/>
          <w:b/>
          <w:color w:val="000000"/>
          <w:sz w:val="24"/>
          <w:szCs w:val="24"/>
          <w:highlight w:val="yellow"/>
        </w:rPr>
        <w:t>ADOPTAR EL MAPA DE RIESGO DE LA CALIDAD DEL AGUA PARA EL CONSUMO HUMANO</w:t>
      </w:r>
      <w:r>
        <w:rPr>
          <w:rFonts w:ascii="Arial" w:eastAsia="Arial" w:hAnsi="Arial" w:cs="Arial"/>
          <w:color w:val="000000"/>
          <w:sz w:val="24"/>
          <w:szCs w:val="24"/>
          <w:highlight w:val="yellow"/>
        </w:rPr>
        <w:t xml:space="preserve"> del sistema de abastecimiento </w:t>
      </w:r>
      <w:r>
        <w:rPr>
          <w:rFonts w:ascii="Arial" w:eastAsia="Arial" w:hAnsi="Arial" w:cs="Arial"/>
          <w:b/>
          <w:sz w:val="24"/>
          <w:szCs w:val="24"/>
          <w:highlight w:val="yellow"/>
        </w:rPr>
        <w:t xml:space="preserve">JUNTA DE ACCIÓN COMUNAL PÉREZ BAJO </w:t>
      </w:r>
      <w:r>
        <w:rPr>
          <w:rFonts w:ascii="Arial" w:eastAsia="Arial" w:hAnsi="Arial" w:cs="Arial"/>
          <w:sz w:val="24"/>
          <w:szCs w:val="24"/>
          <w:highlight w:val="yellow"/>
        </w:rPr>
        <w:t xml:space="preserve">con </w:t>
      </w:r>
      <w:r w:rsidRPr="006144D3">
        <w:rPr>
          <w:rFonts w:ascii="Arial" w:eastAsia="Arial" w:hAnsi="Arial" w:cs="Arial"/>
          <w:b/>
          <w:bCs/>
          <w:sz w:val="24"/>
          <w:szCs w:val="24"/>
          <w:highlight w:val="yellow"/>
        </w:rPr>
        <w:t>Nit 816.003.779-2</w:t>
      </w:r>
      <w:r>
        <w:rPr>
          <w:rFonts w:ascii="Arial" w:eastAsia="Arial" w:hAnsi="Arial" w:cs="Arial"/>
          <w:sz w:val="24"/>
          <w:szCs w:val="24"/>
          <w:highlight w:val="yellow"/>
        </w:rPr>
        <w:t xml:space="preserve"> cuyo representante legal es el señor </w:t>
      </w:r>
      <w:r>
        <w:rPr>
          <w:rFonts w:ascii="Arial" w:eastAsia="Arial" w:hAnsi="Arial" w:cs="Arial"/>
          <w:b/>
          <w:sz w:val="24"/>
          <w:szCs w:val="24"/>
          <w:highlight w:val="yellow"/>
        </w:rPr>
        <w:t>JOSÉ RAMIRO CRUZ</w:t>
      </w:r>
      <w:r>
        <w:rPr>
          <w:rFonts w:ascii="Arial" w:eastAsia="Arial" w:hAnsi="Arial" w:cs="Arial"/>
          <w:sz w:val="24"/>
          <w:szCs w:val="24"/>
          <w:highlight w:val="yellow"/>
        </w:rPr>
        <w:t xml:space="preserve"> </w:t>
      </w:r>
      <w:r>
        <w:rPr>
          <w:rFonts w:ascii="Arial" w:eastAsia="Arial" w:hAnsi="Arial" w:cs="Arial"/>
          <w:b/>
          <w:sz w:val="24"/>
          <w:szCs w:val="24"/>
          <w:highlight w:val="yellow"/>
        </w:rPr>
        <w:t xml:space="preserve">VANEGAS </w:t>
      </w:r>
    </w:p>
    <w:p w14:paraId="6D27D63A" w14:textId="77777777" w:rsidR="00954D5A" w:rsidRDefault="00954D5A">
      <w:pPr>
        <w:rPr>
          <w:rFonts w:ascii="Arial" w:eastAsia="Arial" w:hAnsi="Arial" w:cs="Arial"/>
          <w:sz w:val="24"/>
          <w:szCs w:val="24"/>
        </w:rPr>
      </w:pPr>
    </w:p>
    <w:p w14:paraId="2C525666" w14:textId="77777777" w:rsidR="00954D5A" w:rsidRDefault="006144D3">
      <w:pPr>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PARÁGRAFO</w:t>
      </w:r>
      <w:r>
        <w:rPr>
          <w:rFonts w:ascii="Arial" w:eastAsia="Arial" w:hAnsi="Arial" w:cs="Arial"/>
          <w:color w:val="000000"/>
          <w:sz w:val="24"/>
          <w:szCs w:val="24"/>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r>
        <w:rPr>
          <w:rFonts w:ascii="Arial" w:eastAsia="Arial" w:hAnsi="Arial" w:cs="Arial"/>
          <w:sz w:val="24"/>
          <w:szCs w:val="24"/>
        </w:rPr>
        <w:t>.</w:t>
      </w:r>
    </w:p>
    <w:p w14:paraId="6DC94D1C" w14:textId="77777777" w:rsidR="00954D5A" w:rsidRDefault="00954D5A">
      <w:pPr>
        <w:jc w:val="both"/>
        <w:rPr>
          <w:rFonts w:ascii="Arial" w:eastAsia="Arial" w:hAnsi="Arial" w:cs="Arial"/>
          <w:sz w:val="24"/>
          <w:szCs w:val="24"/>
        </w:rPr>
      </w:pPr>
      <w:bookmarkStart w:id="1" w:name="_heading=h.8g7u3ncyfofb" w:colFirst="0" w:colLast="0"/>
      <w:bookmarkEnd w:id="1"/>
    </w:p>
    <w:p w14:paraId="5EA02501" w14:textId="77777777" w:rsidR="00954D5A" w:rsidRDefault="006144D3">
      <w:pPr>
        <w:jc w:val="both"/>
        <w:rPr>
          <w:rFonts w:ascii="Arial" w:eastAsia="Arial" w:hAnsi="Arial" w:cs="Arial"/>
          <w:sz w:val="24"/>
          <w:szCs w:val="24"/>
        </w:rPr>
      </w:pPr>
      <w:r>
        <w:rPr>
          <w:rFonts w:ascii="Arial" w:eastAsia="Arial" w:hAnsi="Arial" w:cs="Arial"/>
          <w:b/>
          <w:sz w:val="24"/>
          <w:szCs w:val="24"/>
        </w:rPr>
        <w:lastRenderedPageBreak/>
        <w:t>ARTICULO SEGUNDO</w:t>
      </w:r>
      <w:r>
        <w:rPr>
          <w:rFonts w:ascii="Arial" w:eastAsia="Arial" w:hAnsi="Arial" w:cs="Arial"/>
          <w:sz w:val="24"/>
          <w:szCs w:val="24"/>
        </w:rPr>
        <w:t xml:space="preserve">: Ordénese a las personas responsables de los sistemas de suministro de agua para consumo humano, realizar los siguientes análisis al agua en bocatoma y red de distribución por un laboratorio acreditado por el Ministerio de Salud y Protección Social y allegar los resultados antes del primer trimestre del 2021, a esta Autoridad Sanitaria para su evolución, consolidación y actualización de Mapa de Riesgos de Agua para el Consumo Humano. </w:t>
      </w:r>
    </w:p>
    <w:p w14:paraId="40B87EB1" w14:textId="77777777" w:rsidR="00954D5A" w:rsidRDefault="00954D5A">
      <w:pPr>
        <w:rPr>
          <w:rFonts w:ascii="Arial" w:eastAsia="Arial" w:hAnsi="Arial" w:cs="Arial"/>
          <w:sz w:val="22"/>
          <w:szCs w:val="22"/>
        </w:rPr>
      </w:pPr>
    </w:p>
    <w:tbl>
      <w:tblPr>
        <w:tblStyle w:val="a1"/>
        <w:tblW w:w="93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
        <w:gridCol w:w="399"/>
        <w:gridCol w:w="1317"/>
        <w:gridCol w:w="1870"/>
        <w:gridCol w:w="1597"/>
        <w:gridCol w:w="1756"/>
        <w:gridCol w:w="1986"/>
      </w:tblGrid>
      <w:tr w:rsidR="00954D5A" w14:paraId="41BC761D" w14:textId="77777777">
        <w:trPr>
          <w:trHeight w:val="480"/>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00E1124A" w14:textId="77777777" w:rsidR="00954D5A" w:rsidRDefault="006144D3">
            <w:pPr>
              <w:jc w:val="center"/>
              <w:rPr>
                <w:rFonts w:ascii="Arial" w:eastAsia="Arial" w:hAnsi="Arial" w:cs="Arial"/>
                <w:b/>
                <w:sz w:val="18"/>
                <w:szCs w:val="18"/>
              </w:rPr>
            </w:pPr>
            <w:r>
              <w:rPr>
                <w:rFonts w:ascii="Arial" w:eastAsia="Arial" w:hAnsi="Arial" w:cs="Arial"/>
                <w:sz w:val="18"/>
                <w:szCs w:val="18"/>
              </w:rPr>
              <w:t xml:space="preserve">Persona Prestadora de Acueducto: </w:t>
            </w:r>
          </w:p>
          <w:p w14:paraId="55874705" w14:textId="77777777" w:rsidR="00954D5A" w:rsidRDefault="006144D3">
            <w:pPr>
              <w:jc w:val="center"/>
              <w:rPr>
                <w:rFonts w:ascii="Arial" w:eastAsia="Arial" w:hAnsi="Arial" w:cs="Arial"/>
                <w:b/>
                <w:sz w:val="18"/>
                <w:szCs w:val="18"/>
              </w:rPr>
            </w:pPr>
            <w:r>
              <w:rPr>
                <w:rFonts w:ascii="Arial" w:eastAsia="Arial" w:hAnsi="Arial" w:cs="Arial"/>
                <w:b/>
                <w:sz w:val="18"/>
                <w:szCs w:val="18"/>
              </w:rPr>
              <w:t>JUNTA DE ACCION COMUNAL VEREDA PEREZ BAJO</w:t>
            </w:r>
          </w:p>
        </w:tc>
      </w:tr>
      <w:tr w:rsidR="00954D5A" w14:paraId="22968D88" w14:textId="77777777">
        <w:trPr>
          <w:trHeight w:val="300"/>
        </w:trPr>
        <w:tc>
          <w:tcPr>
            <w:tcW w:w="427" w:type="dxa"/>
            <w:vMerge w:val="restart"/>
            <w:tcBorders>
              <w:top w:val="single" w:sz="4" w:space="0" w:color="000000"/>
              <w:left w:val="single" w:sz="4" w:space="0" w:color="000000"/>
              <w:right w:val="single" w:sz="4" w:space="0" w:color="000000"/>
            </w:tcBorders>
            <w:vAlign w:val="center"/>
          </w:tcPr>
          <w:p w14:paraId="760C2008" w14:textId="77777777" w:rsidR="00954D5A" w:rsidRDefault="006144D3">
            <w:pPr>
              <w:ind w:left="113" w:right="113"/>
              <w:jc w:val="center"/>
              <w:rPr>
                <w:rFonts w:ascii="Arial" w:eastAsia="Arial" w:hAnsi="Arial" w:cs="Arial"/>
                <w:b/>
                <w:sz w:val="18"/>
                <w:szCs w:val="18"/>
              </w:rPr>
            </w:pPr>
            <w:r>
              <w:rPr>
                <w:rFonts w:ascii="Arial" w:eastAsia="Arial" w:hAnsi="Arial" w:cs="Arial"/>
                <w:sz w:val="18"/>
                <w:szCs w:val="18"/>
              </w:rPr>
              <w:t>QUEBRADA EL BRILLANTE</w:t>
            </w:r>
          </w:p>
        </w:tc>
        <w:tc>
          <w:tcPr>
            <w:tcW w:w="399" w:type="dxa"/>
            <w:vMerge w:val="restart"/>
            <w:tcBorders>
              <w:top w:val="single" w:sz="4" w:space="0" w:color="000000"/>
              <w:left w:val="single" w:sz="4" w:space="0" w:color="000000"/>
              <w:right w:val="single" w:sz="4" w:space="0" w:color="000000"/>
            </w:tcBorders>
            <w:vAlign w:val="center"/>
          </w:tcPr>
          <w:p w14:paraId="4A35C984" w14:textId="77777777" w:rsidR="00954D5A" w:rsidRDefault="006144D3">
            <w:pPr>
              <w:ind w:left="113" w:right="113"/>
              <w:jc w:val="center"/>
              <w:rPr>
                <w:rFonts w:ascii="Arial" w:eastAsia="Arial" w:hAnsi="Arial" w:cs="Arial"/>
                <w:b/>
                <w:sz w:val="18"/>
                <w:szCs w:val="18"/>
              </w:rPr>
            </w:pPr>
            <w:r>
              <w:rPr>
                <w:rFonts w:ascii="Arial" w:eastAsia="Arial" w:hAnsi="Arial" w:cs="Arial"/>
                <w:b/>
                <w:sz w:val="18"/>
                <w:szCs w:val="18"/>
              </w:rPr>
              <w:t>BOCATOMA 1</w:t>
            </w:r>
          </w:p>
        </w:tc>
        <w:tc>
          <w:tcPr>
            <w:tcW w:w="1317" w:type="dxa"/>
            <w:vMerge w:val="restart"/>
            <w:tcBorders>
              <w:top w:val="single" w:sz="4" w:space="0" w:color="000000"/>
              <w:left w:val="single" w:sz="4" w:space="0" w:color="000000"/>
              <w:bottom w:val="single" w:sz="4" w:space="0" w:color="000000"/>
              <w:right w:val="single" w:sz="4" w:space="0" w:color="000000"/>
            </w:tcBorders>
            <w:vAlign w:val="center"/>
          </w:tcPr>
          <w:p w14:paraId="0C80BB7A" w14:textId="77777777" w:rsidR="00954D5A" w:rsidRDefault="006144D3">
            <w:pPr>
              <w:jc w:val="center"/>
              <w:rPr>
                <w:rFonts w:ascii="Arial" w:eastAsia="Arial" w:hAnsi="Arial" w:cs="Arial"/>
                <w:b/>
                <w:sz w:val="18"/>
                <w:szCs w:val="18"/>
              </w:rPr>
            </w:pPr>
            <w:r>
              <w:rPr>
                <w:rFonts w:ascii="Arial" w:eastAsia="Arial" w:hAnsi="Arial" w:cs="Arial"/>
                <w:b/>
                <w:sz w:val="18"/>
                <w:szCs w:val="18"/>
              </w:rPr>
              <w:t>USO DEL SUELO</w:t>
            </w:r>
          </w:p>
        </w:tc>
        <w:tc>
          <w:tcPr>
            <w:tcW w:w="1870" w:type="dxa"/>
            <w:vMerge w:val="restart"/>
            <w:tcBorders>
              <w:top w:val="single" w:sz="4" w:space="0" w:color="000000"/>
              <w:left w:val="single" w:sz="4" w:space="0" w:color="000000"/>
              <w:bottom w:val="single" w:sz="4" w:space="0" w:color="000000"/>
              <w:right w:val="single" w:sz="4" w:space="0" w:color="000000"/>
            </w:tcBorders>
            <w:vAlign w:val="center"/>
          </w:tcPr>
          <w:p w14:paraId="41A4E7B9" w14:textId="77777777" w:rsidR="00954D5A" w:rsidRDefault="006144D3">
            <w:pPr>
              <w:jc w:val="center"/>
              <w:rPr>
                <w:rFonts w:ascii="Arial" w:eastAsia="Arial" w:hAnsi="Arial" w:cs="Arial"/>
                <w:b/>
                <w:sz w:val="18"/>
                <w:szCs w:val="18"/>
              </w:rPr>
            </w:pPr>
            <w:r>
              <w:rPr>
                <w:rFonts w:ascii="Arial" w:eastAsia="Arial" w:hAnsi="Arial" w:cs="Arial"/>
                <w:b/>
                <w:sz w:val="18"/>
                <w:szCs w:val="18"/>
              </w:rPr>
              <w:t>ACTIVIDAD CONTAMINANTE DE LA FUENTE ABASTECEDORA DEL ACUEDUCTO</w:t>
            </w:r>
          </w:p>
        </w:tc>
        <w:tc>
          <w:tcPr>
            <w:tcW w:w="5339" w:type="dxa"/>
            <w:gridSpan w:val="3"/>
            <w:tcBorders>
              <w:top w:val="single" w:sz="4" w:space="0" w:color="000000"/>
              <w:left w:val="single" w:sz="4" w:space="0" w:color="000000"/>
              <w:bottom w:val="single" w:sz="4" w:space="0" w:color="000000"/>
              <w:right w:val="single" w:sz="4" w:space="0" w:color="000000"/>
            </w:tcBorders>
            <w:vAlign w:val="center"/>
          </w:tcPr>
          <w:p w14:paraId="6E5A8B15" w14:textId="77777777" w:rsidR="00954D5A" w:rsidRDefault="006144D3">
            <w:pPr>
              <w:jc w:val="center"/>
              <w:rPr>
                <w:rFonts w:ascii="Arial" w:eastAsia="Arial" w:hAnsi="Arial" w:cs="Arial"/>
                <w:b/>
                <w:sz w:val="18"/>
                <w:szCs w:val="18"/>
              </w:rPr>
            </w:pPr>
            <w:r>
              <w:rPr>
                <w:rFonts w:ascii="Arial" w:eastAsia="Arial" w:hAnsi="Arial" w:cs="Arial"/>
                <w:b/>
                <w:sz w:val="18"/>
                <w:szCs w:val="18"/>
              </w:rPr>
              <w:t xml:space="preserve">CARACTERISTICAS FISICAS, </w:t>
            </w:r>
            <w:proofErr w:type="gramStart"/>
            <w:r>
              <w:rPr>
                <w:rFonts w:ascii="Arial" w:eastAsia="Arial" w:hAnsi="Arial" w:cs="Arial"/>
                <w:b/>
                <w:sz w:val="18"/>
                <w:szCs w:val="18"/>
              </w:rPr>
              <w:t>QUIMICAS  Y</w:t>
            </w:r>
            <w:proofErr w:type="gramEnd"/>
            <w:r>
              <w:rPr>
                <w:rFonts w:ascii="Arial" w:eastAsia="Arial" w:hAnsi="Arial" w:cs="Arial"/>
                <w:b/>
                <w:sz w:val="18"/>
                <w:szCs w:val="18"/>
              </w:rPr>
              <w:t xml:space="preserve"> MICROBIOLOGICAS PREVIAS</w:t>
            </w:r>
          </w:p>
        </w:tc>
      </w:tr>
      <w:tr w:rsidR="00954D5A" w14:paraId="4A0DFB42" w14:textId="77777777">
        <w:trPr>
          <w:trHeight w:val="728"/>
        </w:trPr>
        <w:tc>
          <w:tcPr>
            <w:tcW w:w="427" w:type="dxa"/>
            <w:vMerge/>
            <w:tcBorders>
              <w:top w:val="single" w:sz="4" w:space="0" w:color="000000"/>
              <w:left w:val="single" w:sz="4" w:space="0" w:color="000000"/>
              <w:right w:val="single" w:sz="4" w:space="0" w:color="000000"/>
            </w:tcBorders>
            <w:vAlign w:val="center"/>
          </w:tcPr>
          <w:p w14:paraId="04C05946" w14:textId="77777777" w:rsidR="00954D5A" w:rsidRDefault="00954D5A">
            <w:pPr>
              <w:widowControl w:val="0"/>
              <w:spacing w:line="276" w:lineRule="auto"/>
              <w:rPr>
                <w:rFonts w:ascii="Arial" w:eastAsia="Arial" w:hAnsi="Arial" w:cs="Arial"/>
                <w:b/>
                <w:sz w:val="18"/>
                <w:szCs w:val="18"/>
              </w:rPr>
            </w:pPr>
          </w:p>
        </w:tc>
        <w:tc>
          <w:tcPr>
            <w:tcW w:w="399" w:type="dxa"/>
            <w:vMerge/>
            <w:tcBorders>
              <w:top w:val="single" w:sz="4" w:space="0" w:color="000000"/>
              <w:left w:val="single" w:sz="4" w:space="0" w:color="000000"/>
              <w:right w:val="single" w:sz="4" w:space="0" w:color="000000"/>
            </w:tcBorders>
            <w:vAlign w:val="center"/>
          </w:tcPr>
          <w:p w14:paraId="622D951D" w14:textId="77777777" w:rsidR="00954D5A" w:rsidRDefault="00954D5A">
            <w:pPr>
              <w:widowControl w:val="0"/>
              <w:spacing w:line="276" w:lineRule="auto"/>
              <w:rPr>
                <w:rFonts w:ascii="Arial" w:eastAsia="Arial" w:hAnsi="Arial" w:cs="Arial"/>
                <w:b/>
                <w:sz w:val="18"/>
                <w:szCs w:val="18"/>
              </w:rPr>
            </w:pPr>
          </w:p>
        </w:tc>
        <w:tc>
          <w:tcPr>
            <w:tcW w:w="1317" w:type="dxa"/>
            <w:vMerge/>
            <w:tcBorders>
              <w:top w:val="single" w:sz="4" w:space="0" w:color="000000"/>
              <w:left w:val="single" w:sz="4" w:space="0" w:color="000000"/>
              <w:bottom w:val="single" w:sz="4" w:space="0" w:color="000000"/>
              <w:right w:val="single" w:sz="4" w:space="0" w:color="000000"/>
            </w:tcBorders>
            <w:vAlign w:val="center"/>
          </w:tcPr>
          <w:p w14:paraId="09BE6CB4" w14:textId="77777777" w:rsidR="00954D5A" w:rsidRDefault="00954D5A">
            <w:pPr>
              <w:widowControl w:val="0"/>
              <w:spacing w:line="276" w:lineRule="auto"/>
              <w:rPr>
                <w:rFonts w:ascii="Arial" w:eastAsia="Arial" w:hAnsi="Arial" w:cs="Arial"/>
                <w:b/>
                <w:sz w:val="18"/>
                <w:szCs w:val="18"/>
              </w:rPr>
            </w:pPr>
          </w:p>
        </w:tc>
        <w:tc>
          <w:tcPr>
            <w:tcW w:w="1870" w:type="dxa"/>
            <w:vMerge/>
            <w:tcBorders>
              <w:top w:val="single" w:sz="4" w:space="0" w:color="000000"/>
              <w:left w:val="single" w:sz="4" w:space="0" w:color="000000"/>
              <w:bottom w:val="single" w:sz="4" w:space="0" w:color="000000"/>
              <w:right w:val="single" w:sz="4" w:space="0" w:color="000000"/>
            </w:tcBorders>
            <w:vAlign w:val="center"/>
          </w:tcPr>
          <w:p w14:paraId="695CEFD5" w14:textId="77777777" w:rsidR="00954D5A" w:rsidRDefault="00954D5A">
            <w:pPr>
              <w:widowControl w:val="0"/>
              <w:spacing w:line="276" w:lineRule="auto"/>
              <w:rPr>
                <w:rFonts w:ascii="Arial" w:eastAsia="Arial" w:hAnsi="Arial" w:cs="Arial"/>
                <w:b/>
                <w:sz w:val="18"/>
                <w:szCs w:val="18"/>
              </w:rPr>
            </w:pPr>
          </w:p>
        </w:tc>
        <w:tc>
          <w:tcPr>
            <w:tcW w:w="1597" w:type="dxa"/>
            <w:tcBorders>
              <w:top w:val="single" w:sz="4" w:space="0" w:color="000000"/>
              <w:left w:val="single" w:sz="4" w:space="0" w:color="000000"/>
              <w:bottom w:val="single" w:sz="4" w:space="0" w:color="000000"/>
              <w:right w:val="single" w:sz="4" w:space="0" w:color="000000"/>
            </w:tcBorders>
            <w:vAlign w:val="center"/>
          </w:tcPr>
          <w:p w14:paraId="2D69B24B" w14:textId="77777777" w:rsidR="00954D5A" w:rsidRDefault="006144D3">
            <w:pPr>
              <w:jc w:val="center"/>
              <w:rPr>
                <w:rFonts w:ascii="Arial" w:eastAsia="Arial" w:hAnsi="Arial" w:cs="Arial"/>
                <w:b/>
                <w:sz w:val="18"/>
                <w:szCs w:val="18"/>
              </w:rPr>
            </w:pPr>
            <w:r>
              <w:rPr>
                <w:rFonts w:ascii="Arial" w:eastAsia="Arial" w:hAnsi="Arial" w:cs="Arial"/>
                <w:b/>
                <w:sz w:val="18"/>
                <w:szCs w:val="18"/>
              </w:rPr>
              <w:t xml:space="preserve">FÍSICAS </w:t>
            </w:r>
          </w:p>
        </w:tc>
        <w:tc>
          <w:tcPr>
            <w:tcW w:w="1756" w:type="dxa"/>
            <w:tcBorders>
              <w:top w:val="single" w:sz="4" w:space="0" w:color="000000"/>
              <w:left w:val="single" w:sz="4" w:space="0" w:color="000000"/>
              <w:bottom w:val="single" w:sz="4" w:space="0" w:color="000000"/>
              <w:right w:val="single" w:sz="4" w:space="0" w:color="000000"/>
            </w:tcBorders>
            <w:vAlign w:val="center"/>
          </w:tcPr>
          <w:p w14:paraId="4AE9C103" w14:textId="77777777" w:rsidR="00954D5A" w:rsidRDefault="006144D3">
            <w:pPr>
              <w:jc w:val="center"/>
              <w:rPr>
                <w:rFonts w:ascii="Arial" w:eastAsia="Arial" w:hAnsi="Arial" w:cs="Arial"/>
                <w:b/>
                <w:sz w:val="18"/>
                <w:szCs w:val="18"/>
              </w:rPr>
            </w:pPr>
            <w:r>
              <w:rPr>
                <w:rFonts w:ascii="Arial" w:eastAsia="Arial" w:hAnsi="Arial" w:cs="Arial"/>
                <w:b/>
                <w:sz w:val="18"/>
                <w:szCs w:val="18"/>
              </w:rPr>
              <w:t xml:space="preserve">QUÍMICAS </w:t>
            </w:r>
          </w:p>
        </w:tc>
        <w:tc>
          <w:tcPr>
            <w:tcW w:w="1986" w:type="dxa"/>
            <w:tcBorders>
              <w:top w:val="single" w:sz="4" w:space="0" w:color="000000"/>
              <w:left w:val="single" w:sz="4" w:space="0" w:color="000000"/>
              <w:bottom w:val="single" w:sz="4" w:space="0" w:color="000000"/>
              <w:right w:val="single" w:sz="4" w:space="0" w:color="000000"/>
            </w:tcBorders>
            <w:vAlign w:val="center"/>
          </w:tcPr>
          <w:p w14:paraId="049E5ACC" w14:textId="77777777" w:rsidR="00954D5A" w:rsidRDefault="006144D3">
            <w:pPr>
              <w:jc w:val="center"/>
              <w:rPr>
                <w:rFonts w:ascii="Arial" w:eastAsia="Arial" w:hAnsi="Arial" w:cs="Arial"/>
                <w:b/>
                <w:sz w:val="18"/>
                <w:szCs w:val="18"/>
              </w:rPr>
            </w:pPr>
            <w:r>
              <w:rPr>
                <w:rFonts w:ascii="Arial" w:eastAsia="Arial" w:hAnsi="Arial" w:cs="Arial"/>
                <w:b/>
                <w:sz w:val="18"/>
                <w:szCs w:val="18"/>
              </w:rPr>
              <w:t xml:space="preserve"> MICROBIOLÓGICAS</w:t>
            </w:r>
          </w:p>
        </w:tc>
      </w:tr>
      <w:tr w:rsidR="00954D5A" w14:paraId="00875673" w14:textId="77777777">
        <w:trPr>
          <w:trHeight w:val="444"/>
        </w:trPr>
        <w:tc>
          <w:tcPr>
            <w:tcW w:w="427" w:type="dxa"/>
            <w:vMerge/>
            <w:tcBorders>
              <w:top w:val="single" w:sz="4" w:space="0" w:color="000000"/>
              <w:left w:val="single" w:sz="4" w:space="0" w:color="000000"/>
              <w:right w:val="single" w:sz="4" w:space="0" w:color="000000"/>
            </w:tcBorders>
            <w:vAlign w:val="center"/>
          </w:tcPr>
          <w:p w14:paraId="156CE0D4" w14:textId="77777777" w:rsidR="00954D5A" w:rsidRDefault="00954D5A">
            <w:pPr>
              <w:widowControl w:val="0"/>
              <w:spacing w:line="276" w:lineRule="auto"/>
              <w:rPr>
                <w:rFonts w:ascii="Arial" w:eastAsia="Arial" w:hAnsi="Arial" w:cs="Arial"/>
                <w:b/>
                <w:sz w:val="18"/>
                <w:szCs w:val="18"/>
              </w:rPr>
            </w:pPr>
          </w:p>
        </w:tc>
        <w:tc>
          <w:tcPr>
            <w:tcW w:w="399" w:type="dxa"/>
            <w:vMerge/>
            <w:tcBorders>
              <w:top w:val="single" w:sz="4" w:space="0" w:color="000000"/>
              <w:left w:val="single" w:sz="4" w:space="0" w:color="000000"/>
              <w:right w:val="single" w:sz="4" w:space="0" w:color="000000"/>
            </w:tcBorders>
            <w:vAlign w:val="center"/>
          </w:tcPr>
          <w:p w14:paraId="0CF9F44B" w14:textId="77777777" w:rsidR="00954D5A" w:rsidRDefault="00954D5A">
            <w:pPr>
              <w:widowControl w:val="0"/>
              <w:spacing w:line="276" w:lineRule="auto"/>
              <w:rPr>
                <w:rFonts w:ascii="Arial" w:eastAsia="Arial" w:hAnsi="Arial" w:cs="Arial"/>
                <w:b/>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14:paraId="6C1D9B77" w14:textId="77777777" w:rsidR="00954D5A" w:rsidRDefault="006144D3">
            <w:pPr>
              <w:spacing w:after="160"/>
              <w:rPr>
                <w:rFonts w:ascii="Arial" w:eastAsia="Arial" w:hAnsi="Arial" w:cs="Arial"/>
                <w:sz w:val="18"/>
                <w:szCs w:val="18"/>
              </w:rPr>
            </w:pPr>
            <w:r>
              <w:rPr>
                <w:rFonts w:ascii="Arial" w:eastAsia="Arial" w:hAnsi="Arial" w:cs="Arial"/>
                <w:sz w:val="18"/>
                <w:szCs w:val="18"/>
              </w:rPr>
              <w:t>PECUARIA</w:t>
            </w:r>
          </w:p>
        </w:tc>
        <w:tc>
          <w:tcPr>
            <w:tcW w:w="1870" w:type="dxa"/>
            <w:tcBorders>
              <w:top w:val="single" w:sz="4" w:space="0" w:color="000000"/>
              <w:left w:val="single" w:sz="4" w:space="0" w:color="000000"/>
              <w:bottom w:val="single" w:sz="4" w:space="0" w:color="000000"/>
              <w:right w:val="single" w:sz="4" w:space="0" w:color="000000"/>
            </w:tcBorders>
            <w:vAlign w:val="center"/>
          </w:tcPr>
          <w:p w14:paraId="46E2033D"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ganadería</w:t>
            </w:r>
          </w:p>
        </w:tc>
        <w:tc>
          <w:tcPr>
            <w:tcW w:w="1597" w:type="dxa"/>
            <w:vMerge w:val="restart"/>
            <w:tcBorders>
              <w:top w:val="single" w:sz="4" w:space="0" w:color="000000"/>
              <w:left w:val="single" w:sz="4" w:space="0" w:color="000000"/>
              <w:right w:val="single" w:sz="4" w:space="0" w:color="000000"/>
            </w:tcBorders>
            <w:vAlign w:val="center"/>
          </w:tcPr>
          <w:p w14:paraId="67A32149" w14:textId="77777777" w:rsidR="00954D5A" w:rsidRDefault="006144D3">
            <w:pPr>
              <w:spacing w:after="160"/>
              <w:jc w:val="center"/>
              <w:rPr>
                <w:rFonts w:ascii="Arial" w:eastAsia="Arial" w:hAnsi="Arial" w:cs="Arial"/>
                <w:sz w:val="18"/>
                <w:szCs w:val="18"/>
              </w:rPr>
            </w:pPr>
            <w:proofErr w:type="gramStart"/>
            <w:r>
              <w:rPr>
                <w:rFonts w:ascii="Arial" w:eastAsia="Arial" w:hAnsi="Arial" w:cs="Arial"/>
                <w:sz w:val="18"/>
                <w:szCs w:val="18"/>
              </w:rPr>
              <w:t>Turbiedad ,</w:t>
            </w:r>
            <w:proofErr w:type="gramEnd"/>
            <w:r>
              <w:rPr>
                <w:rFonts w:ascii="Arial" w:eastAsia="Arial" w:hAnsi="Arial" w:cs="Arial"/>
                <w:sz w:val="18"/>
                <w:szCs w:val="18"/>
              </w:rPr>
              <w:t xml:space="preserve"> conductividad, Sólidos totales.</w:t>
            </w:r>
          </w:p>
        </w:tc>
        <w:tc>
          <w:tcPr>
            <w:tcW w:w="1756" w:type="dxa"/>
            <w:vMerge w:val="restart"/>
            <w:tcBorders>
              <w:top w:val="single" w:sz="4" w:space="0" w:color="000000"/>
              <w:left w:val="single" w:sz="4" w:space="0" w:color="000000"/>
              <w:right w:val="single" w:sz="4" w:space="0" w:color="000000"/>
            </w:tcBorders>
            <w:vAlign w:val="center"/>
          </w:tcPr>
          <w:p w14:paraId="7840DD76" w14:textId="77777777" w:rsidR="00954D5A" w:rsidRDefault="006144D3">
            <w:pPr>
              <w:rPr>
                <w:rFonts w:ascii="Arial" w:eastAsia="Arial" w:hAnsi="Arial" w:cs="Arial"/>
                <w:sz w:val="18"/>
                <w:szCs w:val="18"/>
              </w:rPr>
            </w:pPr>
            <w:r>
              <w:rPr>
                <w:rFonts w:ascii="Arial" w:eastAsia="Arial" w:hAnsi="Arial" w:cs="Arial"/>
                <w:sz w:val="18"/>
                <w:szCs w:val="18"/>
              </w:rPr>
              <w:t xml:space="preserve">Carbono Orgánico Total </w:t>
            </w:r>
          </w:p>
          <w:p w14:paraId="6B7CDFF1" w14:textId="77777777" w:rsidR="00954D5A" w:rsidRDefault="006144D3">
            <w:pPr>
              <w:rPr>
                <w:rFonts w:ascii="Arial" w:eastAsia="Arial" w:hAnsi="Arial" w:cs="Arial"/>
                <w:sz w:val="18"/>
                <w:szCs w:val="18"/>
              </w:rPr>
            </w:pPr>
            <w:r>
              <w:rPr>
                <w:rFonts w:ascii="Arial" w:eastAsia="Arial" w:hAnsi="Arial" w:cs="Arial"/>
                <w:sz w:val="18"/>
                <w:szCs w:val="18"/>
              </w:rPr>
              <w:t xml:space="preserve">Nitritos </w:t>
            </w:r>
          </w:p>
          <w:p w14:paraId="30A805EE" w14:textId="77777777" w:rsidR="00954D5A" w:rsidRDefault="006144D3">
            <w:pPr>
              <w:rPr>
                <w:rFonts w:ascii="Arial" w:eastAsia="Arial" w:hAnsi="Arial" w:cs="Arial"/>
                <w:sz w:val="18"/>
                <w:szCs w:val="18"/>
              </w:rPr>
            </w:pPr>
            <w:r>
              <w:rPr>
                <w:rFonts w:ascii="Arial" w:eastAsia="Arial" w:hAnsi="Arial" w:cs="Arial"/>
                <w:sz w:val="18"/>
                <w:szCs w:val="18"/>
              </w:rPr>
              <w:t xml:space="preserve">Nitratos </w:t>
            </w:r>
          </w:p>
          <w:p w14:paraId="38F84C29" w14:textId="77777777" w:rsidR="00954D5A" w:rsidRDefault="006144D3">
            <w:pPr>
              <w:rPr>
                <w:rFonts w:ascii="Arial" w:eastAsia="Arial" w:hAnsi="Arial" w:cs="Arial"/>
                <w:sz w:val="18"/>
                <w:szCs w:val="18"/>
              </w:rPr>
            </w:pPr>
            <w:r>
              <w:rPr>
                <w:rFonts w:ascii="Arial" w:eastAsia="Arial" w:hAnsi="Arial" w:cs="Arial"/>
                <w:sz w:val="18"/>
                <w:szCs w:val="18"/>
              </w:rPr>
              <w:t>Fluoruros</w:t>
            </w:r>
          </w:p>
          <w:p w14:paraId="288E8C6D" w14:textId="77777777" w:rsidR="00954D5A" w:rsidRDefault="00954D5A">
            <w:pPr>
              <w:spacing w:after="160"/>
              <w:jc w:val="center"/>
              <w:rPr>
                <w:rFonts w:ascii="Arial" w:eastAsia="Arial" w:hAnsi="Arial" w:cs="Arial"/>
                <w:sz w:val="18"/>
                <w:szCs w:val="18"/>
              </w:rPr>
            </w:pPr>
          </w:p>
        </w:tc>
        <w:tc>
          <w:tcPr>
            <w:tcW w:w="1986" w:type="dxa"/>
            <w:vMerge w:val="restart"/>
            <w:tcBorders>
              <w:top w:val="single" w:sz="4" w:space="0" w:color="000000"/>
              <w:left w:val="single" w:sz="4" w:space="0" w:color="000000"/>
              <w:right w:val="single" w:sz="4" w:space="0" w:color="000000"/>
            </w:tcBorders>
            <w:vAlign w:val="center"/>
          </w:tcPr>
          <w:p w14:paraId="7FADE8AB"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 xml:space="preserve">E-Coli </w:t>
            </w:r>
          </w:p>
          <w:p w14:paraId="4DC3D55E"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Coliformes Totales</w:t>
            </w:r>
          </w:p>
          <w:p w14:paraId="6CDD4AB1" w14:textId="77777777" w:rsidR="00954D5A" w:rsidRDefault="00954D5A">
            <w:pPr>
              <w:spacing w:after="160"/>
              <w:jc w:val="center"/>
              <w:rPr>
                <w:rFonts w:ascii="Arial" w:eastAsia="Arial" w:hAnsi="Arial" w:cs="Arial"/>
                <w:sz w:val="18"/>
                <w:szCs w:val="18"/>
              </w:rPr>
            </w:pPr>
          </w:p>
        </w:tc>
      </w:tr>
      <w:tr w:rsidR="00954D5A" w14:paraId="6BCED80F" w14:textId="77777777">
        <w:trPr>
          <w:trHeight w:val="544"/>
        </w:trPr>
        <w:tc>
          <w:tcPr>
            <w:tcW w:w="427" w:type="dxa"/>
            <w:vMerge/>
            <w:tcBorders>
              <w:top w:val="single" w:sz="4" w:space="0" w:color="000000"/>
              <w:left w:val="single" w:sz="4" w:space="0" w:color="000000"/>
              <w:right w:val="single" w:sz="4" w:space="0" w:color="000000"/>
            </w:tcBorders>
            <w:vAlign w:val="center"/>
          </w:tcPr>
          <w:p w14:paraId="630C2DDA" w14:textId="77777777" w:rsidR="00954D5A" w:rsidRDefault="00954D5A">
            <w:pPr>
              <w:widowControl w:val="0"/>
              <w:spacing w:line="276" w:lineRule="auto"/>
              <w:rPr>
                <w:rFonts w:ascii="Arial" w:eastAsia="Arial" w:hAnsi="Arial" w:cs="Arial"/>
                <w:sz w:val="18"/>
                <w:szCs w:val="18"/>
              </w:rPr>
            </w:pPr>
          </w:p>
        </w:tc>
        <w:tc>
          <w:tcPr>
            <w:tcW w:w="399" w:type="dxa"/>
            <w:vMerge/>
            <w:tcBorders>
              <w:top w:val="single" w:sz="4" w:space="0" w:color="000000"/>
              <w:left w:val="single" w:sz="4" w:space="0" w:color="000000"/>
              <w:right w:val="single" w:sz="4" w:space="0" w:color="000000"/>
            </w:tcBorders>
            <w:vAlign w:val="center"/>
          </w:tcPr>
          <w:p w14:paraId="6547E740" w14:textId="77777777" w:rsidR="00954D5A" w:rsidRDefault="00954D5A">
            <w:pPr>
              <w:widowControl w:val="0"/>
              <w:spacing w:line="276" w:lineRule="auto"/>
              <w:rPr>
                <w:rFonts w:ascii="Arial" w:eastAsia="Arial" w:hAnsi="Arial" w:cs="Arial"/>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14:paraId="127F6C80"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AGRICOLA</w:t>
            </w:r>
          </w:p>
        </w:tc>
        <w:tc>
          <w:tcPr>
            <w:tcW w:w="1870" w:type="dxa"/>
            <w:tcBorders>
              <w:top w:val="single" w:sz="4" w:space="0" w:color="000000"/>
              <w:left w:val="single" w:sz="4" w:space="0" w:color="000000"/>
              <w:bottom w:val="single" w:sz="4" w:space="0" w:color="000000"/>
              <w:right w:val="single" w:sz="4" w:space="0" w:color="000000"/>
            </w:tcBorders>
            <w:vAlign w:val="center"/>
          </w:tcPr>
          <w:p w14:paraId="3D7233B5"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Café – plátano</w:t>
            </w:r>
          </w:p>
          <w:p w14:paraId="61366BFC" w14:textId="77777777" w:rsidR="00954D5A" w:rsidRDefault="006144D3">
            <w:pPr>
              <w:spacing w:after="160"/>
              <w:jc w:val="center"/>
              <w:rPr>
                <w:rFonts w:ascii="Arial" w:eastAsia="Arial" w:hAnsi="Arial" w:cs="Arial"/>
                <w:sz w:val="18"/>
                <w:szCs w:val="18"/>
              </w:rPr>
            </w:pPr>
            <w:r>
              <w:rPr>
                <w:rFonts w:ascii="Arial" w:eastAsia="Arial" w:hAnsi="Arial" w:cs="Arial"/>
                <w:sz w:val="18"/>
                <w:szCs w:val="18"/>
              </w:rPr>
              <w:t>En transición</w:t>
            </w:r>
          </w:p>
        </w:tc>
        <w:tc>
          <w:tcPr>
            <w:tcW w:w="1597" w:type="dxa"/>
            <w:vMerge/>
            <w:tcBorders>
              <w:top w:val="single" w:sz="4" w:space="0" w:color="000000"/>
              <w:left w:val="single" w:sz="4" w:space="0" w:color="000000"/>
              <w:right w:val="single" w:sz="4" w:space="0" w:color="000000"/>
            </w:tcBorders>
            <w:vAlign w:val="center"/>
          </w:tcPr>
          <w:p w14:paraId="7FD99C74" w14:textId="77777777" w:rsidR="00954D5A" w:rsidRDefault="00954D5A">
            <w:pPr>
              <w:widowControl w:val="0"/>
              <w:spacing w:line="276" w:lineRule="auto"/>
              <w:rPr>
                <w:rFonts w:ascii="Arial" w:eastAsia="Arial" w:hAnsi="Arial" w:cs="Arial"/>
                <w:sz w:val="18"/>
                <w:szCs w:val="18"/>
              </w:rPr>
            </w:pPr>
          </w:p>
        </w:tc>
        <w:tc>
          <w:tcPr>
            <w:tcW w:w="1756" w:type="dxa"/>
            <w:vMerge/>
            <w:tcBorders>
              <w:top w:val="single" w:sz="4" w:space="0" w:color="000000"/>
              <w:left w:val="single" w:sz="4" w:space="0" w:color="000000"/>
              <w:right w:val="single" w:sz="4" w:space="0" w:color="000000"/>
            </w:tcBorders>
            <w:vAlign w:val="center"/>
          </w:tcPr>
          <w:p w14:paraId="5A53FC49" w14:textId="77777777" w:rsidR="00954D5A" w:rsidRDefault="00954D5A">
            <w:pPr>
              <w:widowControl w:val="0"/>
              <w:spacing w:line="276" w:lineRule="auto"/>
              <w:rPr>
                <w:rFonts w:ascii="Arial" w:eastAsia="Arial" w:hAnsi="Arial" w:cs="Arial"/>
                <w:sz w:val="18"/>
                <w:szCs w:val="18"/>
              </w:rPr>
            </w:pPr>
          </w:p>
        </w:tc>
        <w:tc>
          <w:tcPr>
            <w:tcW w:w="1986" w:type="dxa"/>
            <w:vMerge/>
            <w:tcBorders>
              <w:top w:val="single" w:sz="4" w:space="0" w:color="000000"/>
              <w:left w:val="single" w:sz="4" w:space="0" w:color="000000"/>
              <w:right w:val="single" w:sz="4" w:space="0" w:color="000000"/>
            </w:tcBorders>
            <w:vAlign w:val="center"/>
          </w:tcPr>
          <w:p w14:paraId="630256F5" w14:textId="77777777" w:rsidR="00954D5A" w:rsidRDefault="00954D5A">
            <w:pPr>
              <w:widowControl w:val="0"/>
              <w:spacing w:line="276" w:lineRule="auto"/>
              <w:rPr>
                <w:rFonts w:ascii="Arial" w:eastAsia="Arial" w:hAnsi="Arial" w:cs="Arial"/>
                <w:sz w:val="18"/>
                <w:szCs w:val="18"/>
              </w:rPr>
            </w:pPr>
          </w:p>
        </w:tc>
      </w:tr>
    </w:tbl>
    <w:p w14:paraId="7943963B" w14:textId="77777777" w:rsidR="00954D5A" w:rsidRDefault="00954D5A">
      <w:pPr>
        <w:tabs>
          <w:tab w:val="left" w:pos="5880"/>
        </w:tabs>
        <w:ind w:firstLine="708"/>
        <w:rPr>
          <w:rFonts w:ascii="Arial" w:eastAsia="Arial" w:hAnsi="Arial" w:cs="Arial"/>
          <w:sz w:val="24"/>
          <w:szCs w:val="24"/>
        </w:rPr>
      </w:pPr>
    </w:p>
    <w:p w14:paraId="30E74D18" w14:textId="77777777" w:rsidR="00954D5A" w:rsidRDefault="00954D5A">
      <w:pPr>
        <w:jc w:val="both"/>
        <w:rPr>
          <w:rFonts w:ascii="Arial" w:eastAsia="Arial" w:hAnsi="Arial" w:cs="Arial"/>
          <w:sz w:val="24"/>
          <w:szCs w:val="24"/>
        </w:rPr>
      </w:pPr>
    </w:p>
    <w:p w14:paraId="34856EB5" w14:textId="77777777" w:rsidR="00954D5A" w:rsidRDefault="006144D3">
      <w:pPr>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DF4D930" w14:textId="77777777" w:rsidR="00954D5A" w:rsidRDefault="00954D5A">
      <w:pPr>
        <w:jc w:val="both"/>
        <w:rPr>
          <w:rFonts w:ascii="Arial" w:eastAsia="Arial" w:hAnsi="Arial" w:cs="Arial"/>
          <w:sz w:val="24"/>
          <w:szCs w:val="24"/>
        </w:rPr>
      </w:pPr>
    </w:p>
    <w:p w14:paraId="353CF28F" w14:textId="77777777" w:rsidR="00954D5A" w:rsidRDefault="006144D3">
      <w:pPr>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7E3235FB" w14:textId="77777777" w:rsidR="00954D5A" w:rsidRDefault="00954D5A">
      <w:pPr>
        <w:jc w:val="both"/>
        <w:rPr>
          <w:rFonts w:ascii="Arial" w:eastAsia="Arial" w:hAnsi="Arial" w:cs="Arial"/>
          <w:sz w:val="24"/>
          <w:szCs w:val="24"/>
        </w:rPr>
      </w:pPr>
    </w:p>
    <w:p w14:paraId="674DDCCF" w14:textId="77777777" w:rsidR="00954D5A" w:rsidRDefault="006144D3">
      <w:pPr>
        <w:jc w:val="both"/>
        <w:rPr>
          <w:rFonts w:ascii="Arial" w:eastAsia="Arial" w:hAnsi="Arial" w:cs="Arial"/>
          <w:color w:val="000000"/>
          <w:sz w:val="24"/>
          <w:szCs w:val="24"/>
        </w:rPr>
      </w:pPr>
      <w:r>
        <w:rPr>
          <w:rFonts w:ascii="Arial" w:eastAsia="Arial" w:hAnsi="Arial" w:cs="Arial"/>
          <w:b/>
          <w:sz w:val="24"/>
          <w:szCs w:val="24"/>
        </w:rPr>
        <w:t>ARTÍCULO QUINTO</w:t>
      </w:r>
      <w:r>
        <w:rPr>
          <w:rFonts w:ascii="Arial" w:eastAsia="Arial" w:hAnsi="Arial" w:cs="Arial"/>
          <w:sz w:val="24"/>
          <w:szCs w:val="24"/>
        </w:rPr>
        <w:t xml:space="preserve">: La Secretaría de Salud Pública y Seguridad Social, actualizará el MAPA DE RIESGOS DE LA CALIDAD DEL AGUA PARA EL CONSUMO HUMANO, anualmente a más tardar </w:t>
      </w:r>
      <w:r>
        <w:rPr>
          <w:rFonts w:ascii="Arial" w:eastAsia="Arial" w:hAnsi="Arial" w:cs="Arial"/>
          <w:sz w:val="24"/>
          <w:szCs w:val="24"/>
          <w:highlight w:val="yellow"/>
        </w:rPr>
        <w:t>el 30 de septiembre de cada año,</w:t>
      </w:r>
      <w:r>
        <w:rPr>
          <w:rFonts w:ascii="Arial" w:eastAsia="Arial" w:hAnsi="Arial" w:cs="Arial"/>
          <w:sz w:val="24"/>
          <w:szCs w:val="24"/>
        </w:rPr>
        <w:t xml:space="preserve"> teniendo en cuenta el avance de las acciones de reducción de riesgos, nuevos desarrollos urbanísticos, industriales, agrícolas, inspecciones sanitarias realizadas al sistema de abastecimiento, según el artículo 13 </w:t>
      </w:r>
      <w:r>
        <w:rPr>
          <w:rFonts w:ascii="Arial" w:eastAsia="Arial" w:hAnsi="Arial" w:cs="Arial"/>
          <w:color w:val="000000"/>
          <w:sz w:val="24"/>
          <w:szCs w:val="24"/>
        </w:rPr>
        <w:t>Resolución 4716 de 2010.</w:t>
      </w:r>
    </w:p>
    <w:p w14:paraId="311CF081" w14:textId="77777777" w:rsidR="00954D5A" w:rsidRDefault="00954D5A">
      <w:pPr>
        <w:jc w:val="both"/>
        <w:rPr>
          <w:rFonts w:ascii="Arial" w:eastAsia="Arial" w:hAnsi="Arial" w:cs="Arial"/>
          <w:sz w:val="24"/>
          <w:szCs w:val="24"/>
        </w:rPr>
      </w:pPr>
    </w:p>
    <w:p w14:paraId="3E434FA4" w14:textId="77777777" w:rsidR="00954D5A" w:rsidRDefault="006144D3">
      <w:pPr>
        <w:jc w:val="both"/>
        <w:rPr>
          <w:rFonts w:ascii="Arial" w:eastAsia="Arial" w:hAnsi="Arial" w:cs="Arial"/>
          <w:sz w:val="24"/>
          <w:szCs w:val="24"/>
        </w:rPr>
      </w:pPr>
      <w:r>
        <w:rPr>
          <w:rFonts w:ascii="Arial" w:eastAsia="Arial" w:hAnsi="Arial" w:cs="Arial"/>
          <w:b/>
          <w:sz w:val="24"/>
          <w:szCs w:val="24"/>
        </w:rPr>
        <w:t>ARTÍCULO SEXTO</w:t>
      </w:r>
      <w:r>
        <w:rPr>
          <w:rFonts w:ascii="Arial" w:eastAsia="Arial" w:hAnsi="Arial" w:cs="Arial"/>
          <w:sz w:val="24"/>
          <w:szCs w:val="24"/>
        </w:rPr>
        <w:t xml:space="preserve">: Notificar personalmente (artículo 67 y/o 69 del Código de Procedimiento Administrativo y de lo Contencioso Administrativo, artículo 8 del decreto 806 del 2020) el contenido de la presente resolución a los interesados  o sus apoderados, haciéndole saber que contra el presente acto proceden los </w:t>
      </w:r>
      <w:r>
        <w:rPr>
          <w:rFonts w:ascii="Arial" w:eastAsia="Arial" w:hAnsi="Arial" w:cs="Arial"/>
          <w:sz w:val="24"/>
          <w:szCs w:val="24"/>
        </w:rPr>
        <w:lastRenderedPageBreak/>
        <w:t>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37532B0F" w14:textId="77777777" w:rsidR="00954D5A" w:rsidRDefault="00954D5A">
      <w:pPr>
        <w:jc w:val="both"/>
        <w:rPr>
          <w:rFonts w:ascii="Arial" w:eastAsia="Arial" w:hAnsi="Arial" w:cs="Arial"/>
          <w:sz w:val="24"/>
          <w:szCs w:val="24"/>
        </w:rPr>
      </w:pPr>
    </w:p>
    <w:p w14:paraId="0CA7A82F" w14:textId="77777777" w:rsidR="00954D5A" w:rsidRDefault="006144D3">
      <w:pPr>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ARTÍCULO SÉPTIMO: </w:t>
      </w:r>
      <w:r>
        <w:rPr>
          <w:rFonts w:ascii="Arial" w:eastAsia="Arial" w:hAnsi="Arial" w:cs="Arial"/>
          <w:sz w:val="24"/>
          <w:szCs w:val="24"/>
        </w:rPr>
        <w:t>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6EBBC5D" w14:textId="77777777" w:rsidR="00954D5A" w:rsidRDefault="00954D5A">
      <w:pPr>
        <w:spacing w:after="200"/>
        <w:jc w:val="center"/>
        <w:rPr>
          <w:rFonts w:ascii="Arial" w:eastAsia="Arial" w:hAnsi="Arial" w:cs="Arial"/>
          <w:b/>
          <w:color w:val="000000"/>
          <w:sz w:val="24"/>
          <w:szCs w:val="24"/>
        </w:rPr>
      </w:pPr>
    </w:p>
    <w:p w14:paraId="6CA5F27B" w14:textId="77777777" w:rsidR="00954D5A" w:rsidRDefault="00954D5A">
      <w:pPr>
        <w:spacing w:after="200"/>
        <w:jc w:val="center"/>
        <w:rPr>
          <w:rFonts w:ascii="Arial" w:eastAsia="Arial" w:hAnsi="Arial" w:cs="Arial"/>
          <w:b/>
          <w:color w:val="000000"/>
          <w:sz w:val="24"/>
          <w:szCs w:val="24"/>
        </w:rPr>
      </w:pPr>
    </w:p>
    <w:p w14:paraId="35544974" w14:textId="77777777" w:rsidR="00954D5A" w:rsidRDefault="00954D5A">
      <w:pPr>
        <w:spacing w:after="200"/>
        <w:jc w:val="center"/>
        <w:rPr>
          <w:rFonts w:ascii="Arial" w:eastAsia="Arial" w:hAnsi="Arial" w:cs="Arial"/>
          <w:b/>
          <w:color w:val="000000"/>
          <w:sz w:val="24"/>
          <w:szCs w:val="24"/>
        </w:rPr>
      </w:pPr>
    </w:p>
    <w:p w14:paraId="7D92A8D9" w14:textId="77777777" w:rsidR="00954D5A" w:rsidRDefault="00954D5A">
      <w:pPr>
        <w:spacing w:after="200"/>
        <w:rPr>
          <w:rFonts w:ascii="Arial" w:eastAsia="Arial" w:hAnsi="Arial" w:cs="Arial"/>
          <w:b/>
          <w:color w:val="000000"/>
          <w:sz w:val="24"/>
          <w:szCs w:val="24"/>
        </w:rPr>
      </w:pPr>
      <w:bookmarkStart w:id="3" w:name="_heading=h.3znysh7" w:colFirst="0" w:colLast="0"/>
      <w:bookmarkEnd w:id="3"/>
    </w:p>
    <w:p w14:paraId="7E64987F" w14:textId="77777777" w:rsidR="00954D5A" w:rsidRDefault="00954D5A">
      <w:pPr>
        <w:spacing w:after="200"/>
        <w:jc w:val="center"/>
        <w:rPr>
          <w:rFonts w:ascii="Arial" w:eastAsia="Arial" w:hAnsi="Arial" w:cs="Arial"/>
          <w:b/>
          <w:color w:val="000000"/>
          <w:sz w:val="24"/>
          <w:szCs w:val="24"/>
        </w:rPr>
      </w:pPr>
    </w:p>
    <w:p w14:paraId="743B3027" w14:textId="77777777" w:rsidR="00954D5A" w:rsidRDefault="006144D3">
      <w:pPr>
        <w:spacing w:after="200"/>
        <w:jc w:val="center"/>
        <w:rPr>
          <w:rFonts w:ascii="Arial" w:eastAsia="Arial" w:hAnsi="Arial" w:cs="Arial"/>
          <w:b/>
          <w:sz w:val="24"/>
          <w:szCs w:val="24"/>
        </w:rPr>
      </w:pPr>
      <w:r>
        <w:rPr>
          <w:rFonts w:ascii="Arial" w:eastAsia="Arial" w:hAnsi="Arial" w:cs="Arial"/>
          <w:b/>
          <w:sz w:val="24"/>
          <w:szCs w:val="24"/>
        </w:rPr>
        <w:t>NOTIFÍQUESE Y CÚMPLASE</w:t>
      </w:r>
    </w:p>
    <w:p w14:paraId="1DB3374A" w14:textId="77777777" w:rsidR="00954D5A" w:rsidRDefault="00954D5A">
      <w:pPr>
        <w:spacing w:after="200"/>
        <w:jc w:val="center"/>
        <w:rPr>
          <w:rFonts w:ascii="Arial" w:eastAsia="Arial" w:hAnsi="Arial" w:cs="Arial"/>
          <w:b/>
          <w:sz w:val="24"/>
          <w:szCs w:val="24"/>
        </w:rPr>
      </w:pPr>
    </w:p>
    <w:p w14:paraId="7F5CD3BE" w14:textId="77777777" w:rsidR="00954D5A" w:rsidRDefault="006144D3">
      <w:pPr>
        <w:ind w:right="16"/>
        <w:jc w:val="center"/>
        <w:rPr>
          <w:rFonts w:ascii="Arial" w:eastAsia="Arial" w:hAnsi="Arial" w:cs="Arial"/>
          <w:b/>
          <w:sz w:val="24"/>
          <w:szCs w:val="24"/>
        </w:rPr>
      </w:pPr>
      <w:r>
        <w:rPr>
          <w:rFonts w:ascii="Arial" w:eastAsia="Arial" w:hAnsi="Arial" w:cs="Arial"/>
          <w:b/>
          <w:sz w:val="24"/>
          <w:szCs w:val="24"/>
        </w:rPr>
        <w:t>ANA YOLIMA SÁNCHEZ GUTIÉRREZ</w:t>
      </w:r>
    </w:p>
    <w:p w14:paraId="27341344" w14:textId="77777777" w:rsidR="00954D5A" w:rsidRDefault="006144D3">
      <w:pPr>
        <w:ind w:right="16"/>
        <w:jc w:val="center"/>
        <w:rPr>
          <w:rFonts w:ascii="Arial" w:eastAsia="Arial" w:hAnsi="Arial" w:cs="Arial"/>
          <w:b/>
          <w:sz w:val="24"/>
          <w:szCs w:val="24"/>
        </w:rPr>
      </w:pPr>
      <w:r>
        <w:rPr>
          <w:rFonts w:ascii="Arial" w:eastAsia="Arial" w:hAnsi="Arial" w:cs="Arial"/>
          <w:b/>
          <w:sz w:val="24"/>
          <w:szCs w:val="24"/>
        </w:rPr>
        <w:t>Secretaría de Salud Pública y Seguridad Social</w:t>
      </w:r>
    </w:p>
    <w:p w14:paraId="13D3D945" w14:textId="77777777" w:rsidR="00954D5A" w:rsidRDefault="006144D3">
      <w:pPr>
        <w:ind w:right="16"/>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4142DD12" w14:textId="77777777" w:rsidR="00954D5A" w:rsidRDefault="006144D3">
      <w:pPr>
        <w:jc w:val="both"/>
        <w:rPr>
          <w:rFonts w:ascii="Arial" w:eastAsia="Arial" w:hAnsi="Arial" w:cs="Arial"/>
          <w:b/>
        </w:rPr>
      </w:pPr>
      <w:r>
        <w:rPr>
          <w:rFonts w:ascii="Arial" w:eastAsia="Arial" w:hAnsi="Arial" w:cs="Arial"/>
          <w:b/>
        </w:rPr>
        <w:t>Elaboró:</w:t>
      </w:r>
      <w:r>
        <w:rPr>
          <w:rFonts w:ascii="Arial" w:eastAsia="Arial" w:hAnsi="Arial" w:cs="Arial"/>
          <w:b/>
        </w:rPr>
        <w:tab/>
      </w:r>
      <w:r>
        <w:rPr>
          <w:rFonts w:ascii="Arial" w:eastAsia="Arial" w:hAnsi="Arial" w:cs="Arial"/>
          <w:b/>
        </w:rPr>
        <w:tab/>
        <w:t xml:space="preserve">Liz Vanessa Guio Moreno </w:t>
      </w:r>
    </w:p>
    <w:p w14:paraId="3D27CD70" w14:textId="77777777" w:rsidR="00954D5A" w:rsidRDefault="006144D3">
      <w:pPr>
        <w:ind w:left="2124"/>
        <w:jc w:val="both"/>
        <w:rPr>
          <w:rFonts w:ascii="Arial" w:eastAsia="Arial" w:hAnsi="Arial" w:cs="Arial"/>
        </w:rPr>
      </w:pPr>
      <w:r>
        <w:rPr>
          <w:rFonts w:ascii="Arial" w:eastAsia="Arial" w:hAnsi="Arial" w:cs="Arial"/>
        </w:rPr>
        <w:t>Contratista Secretaría de Salud Pública y Seguridad Social de Pereira</w:t>
      </w:r>
    </w:p>
    <w:p w14:paraId="3B01099F" w14:textId="77777777" w:rsidR="00954D5A" w:rsidRDefault="006144D3">
      <w:pPr>
        <w:ind w:left="1416" w:firstLine="707"/>
        <w:jc w:val="both"/>
        <w:rPr>
          <w:rFonts w:ascii="Arial" w:eastAsia="Arial" w:hAnsi="Arial" w:cs="Arial"/>
        </w:rPr>
      </w:pPr>
      <w:r>
        <w:rPr>
          <w:rFonts w:ascii="Arial" w:eastAsia="Arial" w:hAnsi="Arial" w:cs="Arial"/>
        </w:rPr>
        <w:t xml:space="preserve">Programa Agua y Saneamiento </w:t>
      </w:r>
    </w:p>
    <w:p w14:paraId="31DADAA0" w14:textId="77777777" w:rsidR="00954D5A" w:rsidRDefault="006144D3">
      <w:pPr>
        <w:jc w:val="both"/>
        <w:rPr>
          <w:rFonts w:ascii="Arial" w:eastAsia="Arial" w:hAnsi="Arial" w:cs="Arial"/>
          <w:b/>
        </w:rPr>
      </w:pPr>
      <w:r>
        <w:rPr>
          <w:rFonts w:ascii="Arial" w:eastAsia="Arial" w:hAnsi="Arial" w:cs="Arial"/>
          <w:b/>
        </w:rPr>
        <w:tab/>
      </w:r>
    </w:p>
    <w:p w14:paraId="3401F901" w14:textId="77777777" w:rsidR="00954D5A" w:rsidRDefault="00954D5A">
      <w:pPr>
        <w:jc w:val="both"/>
        <w:rPr>
          <w:rFonts w:ascii="Arial" w:eastAsia="Arial" w:hAnsi="Arial" w:cs="Arial"/>
          <w:b/>
        </w:rPr>
      </w:pPr>
    </w:p>
    <w:p w14:paraId="4ABA5CC6" w14:textId="77777777" w:rsidR="00954D5A" w:rsidRDefault="006144D3">
      <w:pPr>
        <w:jc w:val="both"/>
        <w:rPr>
          <w:rFonts w:ascii="Arial" w:eastAsia="Arial" w:hAnsi="Arial" w:cs="Arial"/>
          <w:b/>
        </w:rPr>
      </w:pPr>
      <w:r>
        <w:rPr>
          <w:rFonts w:ascii="Arial" w:eastAsia="Arial" w:hAnsi="Arial" w:cs="Arial"/>
          <w:b/>
        </w:rPr>
        <w:t>Revisión Técnica:</w:t>
      </w:r>
      <w:r>
        <w:rPr>
          <w:rFonts w:ascii="Arial" w:eastAsia="Arial" w:hAnsi="Arial" w:cs="Arial"/>
          <w:b/>
        </w:rPr>
        <w:tab/>
        <w:t>Laura Carolina Henao Ceballos</w:t>
      </w:r>
    </w:p>
    <w:p w14:paraId="6A8607B8" w14:textId="77777777" w:rsidR="00954D5A" w:rsidRDefault="006144D3">
      <w:pPr>
        <w:ind w:left="2124" w:firstLine="5"/>
        <w:jc w:val="both"/>
        <w:rPr>
          <w:rFonts w:ascii="Arial" w:eastAsia="Arial" w:hAnsi="Arial" w:cs="Arial"/>
        </w:rPr>
      </w:pPr>
      <w:r>
        <w:rPr>
          <w:rFonts w:ascii="Arial" w:eastAsia="Arial" w:hAnsi="Arial" w:cs="Arial"/>
        </w:rPr>
        <w:t>Profesional Secretaría de Salud Pública y Seguridad Social de Pereira</w:t>
      </w:r>
    </w:p>
    <w:p w14:paraId="32E31E59" w14:textId="77777777" w:rsidR="00954D5A" w:rsidRDefault="006144D3">
      <w:pPr>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t>Dimensión de Salud Ambienta</w:t>
      </w:r>
      <w:r>
        <w:rPr>
          <w:rFonts w:ascii="Arial" w:eastAsia="Arial" w:hAnsi="Arial" w:cs="Arial"/>
          <w:b/>
        </w:rPr>
        <w:t>l</w:t>
      </w:r>
    </w:p>
    <w:p w14:paraId="4E100383" w14:textId="77777777" w:rsidR="00954D5A" w:rsidRDefault="00954D5A">
      <w:pPr>
        <w:jc w:val="both"/>
        <w:rPr>
          <w:rFonts w:ascii="Arial" w:eastAsia="Arial" w:hAnsi="Arial" w:cs="Arial"/>
          <w:b/>
        </w:rPr>
      </w:pPr>
    </w:p>
    <w:p w14:paraId="5763A7DB" w14:textId="77777777" w:rsidR="00954D5A" w:rsidRDefault="00954D5A">
      <w:pPr>
        <w:jc w:val="both"/>
        <w:rPr>
          <w:rFonts w:ascii="Arial" w:eastAsia="Arial" w:hAnsi="Arial" w:cs="Arial"/>
          <w:b/>
        </w:rPr>
      </w:pPr>
    </w:p>
    <w:p w14:paraId="252B72A6" w14:textId="77777777" w:rsidR="00954D5A" w:rsidRDefault="006144D3">
      <w:pPr>
        <w:jc w:val="both"/>
        <w:rPr>
          <w:rFonts w:ascii="Arial" w:eastAsia="Arial" w:hAnsi="Arial" w:cs="Arial"/>
          <w:b/>
        </w:rPr>
      </w:pPr>
      <w:r>
        <w:rPr>
          <w:rFonts w:ascii="Arial" w:eastAsia="Arial" w:hAnsi="Arial" w:cs="Arial"/>
          <w:b/>
        </w:rPr>
        <w:t>Revisión Jurídica:</w:t>
      </w:r>
      <w:r>
        <w:rPr>
          <w:rFonts w:ascii="Arial" w:eastAsia="Arial" w:hAnsi="Arial" w:cs="Arial"/>
          <w:b/>
        </w:rPr>
        <w:tab/>
        <w:t xml:space="preserve">Luis Alfredo García Rodríguez </w:t>
      </w:r>
    </w:p>
    <w:p w14:paraId="0EDA07F9" w14:textId="77777777" w:rsidR="00954D5A" w:rsidRDefault="006144D3">
      <w:pPr>
        <w:ind w:left="2124" w:firstLine="5"/>
        <w:jc w:val="both"/>
        <w:rPr>
          <w:rFonts w:ascii="Arial" w:eastAsia="Arial" w:hAnsi="Arial" w:cs="Arial"/>
        </w:rPr>
      </w:pPr>
      <w:r>
        <w:rPr>
          <w:rFonts w:ascii="Arial" w:eastAsia="Arial" w:hAnsi="Arial" w:cs="Arial"/>
        </w:rPr>
        <w:t>Abogado Secretaría de Salud Pública y Seguridad Social de Pereira</w:t>
      </w:r>
    </w:p>
    <w:sectPr w:rsidR="00954D5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526F" w14:textId="77777777" w:rsidR="0076429B" w:rsidRDefault="006144D3">
      <w:r>
        <w:separator/>
      </w:r>
    </w:p>
  </w:endnote>
  <w:endnote w:type="continuationSeparator" w:id="0">
    <w:p w14:paraId="2376946E" w14:textId="77777777" w:rsidR="0076429B" w:rsidRDefault="0061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D7A5" w14:textId="77777777" w:rsidR="00954D5A" w:rsidRDefault="006144D3">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r>
      <w:rPr>
        <w:noProof/>
      </w:rPr>
      <w:drawing>
        <wp:anchor distT="0" distB="0" distL="114300" distR="114300" simplePos="0" relativeHeight="251659776" behindDoc="0" locked="0" layoutInCell="1" hidden="0" allowOverlap="1" wp14:anchorId="3C977E8A" wp14:editId="1ADE41D6">
          <wp:simplePos x="0" y="0"/>
          <wp:positionH relativeFrom="column">
            <wp:posOffset>4</wp:posOffset>
          </wp:positionH>
          <wp:positionV relativeFrom="paragraph">
            <wp:posOffset>-238121</wp:posOffset>
          </wp:positionV>
          <wp:extent cx="1009650" cy="560098"/>
          <wp:effectExtent l="0" t="0" r="0" b="0"/>
          <wp:wrapSquare wrapText="bothSides" distT="0" distB="0" distL="114300" distR="114300"/>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24094" r="2949" b="22348"/>
                  <a:stretch>
                    <a:fillRect/>
                  </a:stretch>
                </pic:blipFill>
                <pic:spPr>
                  <a:xfrm>
                    <a:off x="0" y="0"/>
                    <a:ext cx="1009650" cy="560098"/>
                  </a:xfrm>
                  <a:prstGeom prst="rect">
                    <a:avLst/>
                  </a:prstGeom>
                  <a:ln/>
                </pic:spPr>
              </pic:pic>
            </a:graphicData>
          </a:graphic>
        </wp:anchor>
      </w:drawing>
    </w:r>
  </w:p>
  <w:p w14:paraId="2899C03E" w14:textId="77777777" w:rsidR="00954D5A" w:rsidRDefault="00954D5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A1BD" w14:textId="77777777" w:rsidR="0076429B" w:rsidRDefault="006144D3">
      <w:r>
        <w:separator/>
      </w:r>
    </w:p>
  </w:footnote>
  <w:footnote w:type="continuationSeparator" w:id="0">
    <w:p w14:paraId="3B160C15" w14:textId="77777777" w:rsidR="0076429B" w:rsidRDefault="0061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09E2" w14:textId="77777777" w:rsidR="00954D5A" w:rsidRDefault="00997D84">
    <w:pPr>
      <w:keepNext/>
      <w:numPr>
        <w:ilvl w:val="3"/>
        <w:numId w:val="1"/>
      </w:numPr>
      <w:pBdr>
        <w:top w:val="nil"/>
        <w:left w:val="nil"/>
        <w:bottom w:val="nil"/>
        <w:right w:val="nil"/>
        <w:between w:val="nil"/>
      </w:pBdr>
      <w:rPr>
        <w:rFonts w:ascii="Arial" w:eastAsia="Arial" w:hAnsi="Arial" w:cs="Arial"/>
        <w:color w:val="000000"/>
      </w:rPr>
    </w:pPr>
    <w:bookmarkStart w:id="4" w:name="_heading=h.1fob9te" w:colFirst="0" w:colLast="0"/>
    <w:bookmarkEnd w:id="4"/>
    <w:r>
      <w:rPr>
        <w:rFonts w:ascii="Trebuchet MS" w:eastAsia="Trebuchet MS" w:hAnsi="Trebuchet MS" w:cs="Trebuchet MS"/>
        <w:b/>
        <w:color w:val="000000"/>
        <w:sz w:val="22"/>
        <w:szCs w:val="22"/>
      </w:rPr>
      <w:pict w14:anchorId="2106E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49" type="#_x0000_t75" style="position:absolute;left:0;text-align:left;margin-left:0;margin-top:0;width:441.9pt;height:547.55pt;z-index:-251655680;mso-position-horizontal:center;mso-position-horizontal-relative:margin;mso-position-vertical:center;mso-position-vertical-relative:margin" o:allowincell="f">
          <v:imagedata r:id="rId1" o:title="MARCA DE AGUA ALCALDIA"/>
          <w10:wrap anchorx="margin" anchory="margin"/>
        </v:shape>
      </w:pict>
    </w:r>
    <w:r w:rsidR="006144D3">
      <w:rPr>
        <w:noProof/>
      </w:rPr>
      <mc:AlternateContent>
        <mc:Choice Requires="wps">
          <w:drawing>
            <wp:anchor distT="0" distB="0" distL="0" distR="0" simplePos="0" relativeHeight="251654656" behindDoc="1" locked="0" layoutInCell="1" hidden="0" allowOverlap="1" wp14:anchorId="20827CF5" wp14:editId="4900895D">
              <wp:simplePos x="0" y="0"/>
              <wp:positionH relativeFrom="column">
                <wp:posOffset>927100</wp:posOffset>
              </wp:positionH>
              <wp:positionV relativeFrom="paragraph">
                <wp:posOffset>-126999</wp:posOffset>
              </wp:positionV>
              <wp:extent cx="5172075" cy="794385"/>
              <wp:effectExtent l="0" t="0" r="0" b="0"/>
              <wp:wrapNone/>
              <wp:docPr id="25"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B907014" w14:textId="77777777" w:rsidR="00954D5A" w:rsidRDefault="006144D3">
                          <w:pPr>
                            <w:spacing w:line="360" w:lineRule="auto"/>
                            <w:jc w:val="center"/>
                            <w:textDirection w:val="btLr"/>
                          </w:pPr>
                          <w:r>
                            <w:rPr>
                              <w:rFonts w:ascii="Arial" w:eastAsia="Arial" w:hAnsi="Arial" w:cs="Arial"/>
                              <w:b/>
                              <w:color w:val="000000"/>
                              <w:sz w:val="32"/>
                            </w:rPr>
                            <w:t xml:space="preserve">                                RESOLUCIÓN No. ____________</w:t>
                          </w:r>
                        </w:p>
                        <w:p w14:paraId="4F289817" w14:textId="77777777" w:rsidR="00954D5A" w:rsidRDefault="006144D3">
                          <w:pPr>
                            <w:spacing w:line="360" w:lineRule="auto"/>
                            <w:jc w:val="center"/>
                            <w:textDirection w:val="btLr"/>
                          </w:pPr>
                          <w:r>
                            <w:rPr>
                              <w:rFonts w:ascii="Arial" w:eastAsia="Arial" w:hAnsi="Arial" w:cs="Arial"/>
                              <w:b/>
                              <w:color w:val="000000"/>
                              <w:sz w:val="32"/>
                            </w:rPr>
                            <w:t xml:space="preserve">                                        DEL ___ DE ______DE 2020</w:t>
                          </w:r>
                        </w:p>
                      </w:txbxContent>
                    </wps:txbx>
                    <wps:bodyPr spcFirstLastPara="1" wrap="square" lIns="91425" tIns="45700" rIns="91425" bIns="45700" anchor="t" anchorCtr="0">
                      <a:noAutofit/>
                    </wps:bodyPr>
                  </wps:wsp>
                </a:graphicData>
              </a:graphic>
            </wp:anchor>
          </w:drawing>
        </mc:Choice>
        <mc:Fallback>
          <w:pict>
            <v:rect w14:anchorId="20827CF5" id="_x0000_s1026" style="position:absolute;left:0;text-align:left;margin-left:73pt;margin-top:-10pt;width:407.25pt;height:62.55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" stroked="f">
              <v:textbox inset="2.53958mm,1.2694mm,2.53958mm,1.2694mm">
                <w:txbxContent>
                  <w:p w14:paraId="5B907014" w14:textId="77777777" w:rsidR="00954D5A" w:rsidRDefault="006144D3">
                    <w:pPr>
                      <w:spacing w:line="360" w:lineRule="auto"/>
                      <w:jc w:val="center"/>
                      <w:textDirection w:val="btLr"/>
                    </w:pPr>
                    <w:r>
                      <w:rPr>
                        <w:rFonts w:ascii="Arial" w:eastAsia="Arial" w:hAnsi="Arial" w:cs="Arial"/>
                        <w:b/>
                        <w:color w:val="000000"/>
                        <w:sz w:val="32"/>
                      </w:rPr>
                      <w:t xml:space="preserve">                                RESOLUCIÓN No. ____________</w:t>
                    </w:r>
                  </w:p>
                  <w:p w14:paraId="4F289817" w14:textId="77777777" w:rsidR="00954D5A" w:rsidRDefault="006144D3">
                    <w:pPr>
                      <w:spacing w:line="360" w:lineRule="auto"/>
                      <w:jc w:val="center"/>
                      <w:textDirection w:val="btLr"/>
                    </w:pPr>
                    <w:r>
                      <w:rPr>
                        <w:rFonts w:ascii="Arial" w:eastAsia="Arial" w:hAnsi="Arial" w:cs="Arial"/>
                        <w:b/>
                        <w:color w:val="000000"/>
                        <w:sz w:val="32"/>
                      </w:rPr>
                      <w:t xml:space="preserve">                                        DEL ___ DE ______DE 2020</w:t>
                    </w:r>
                  </w:p>
                </w:txbxContent>
              </v:textbox>
            </v:rect>
          </w:pict>
        </mc:Fallback>
      </mc:AlternateContent>
    </w:r>
    <w:r w:rsidR="006144D3">
      <w:rPr>
        <w:noProof/>
      </w:rPr>
      <w:drawing>
        <wp:anchor distT="0" distB="0" distL="0" distR="0" simplePos="0" relativeHeight="251655680" behindDoc="1" locked="0" layoutInCell="1" hidden="0" allowOverlap="1" wp14:anchorId="34A27DC4" wp14:editId="58BF9EE5">
          <wp:simplePos x="0" y="0"/>
          <wp:positionH relativeFrom="column">
            <wp:posOffset>-438782</wp:posOffset>
          </wp:positionH>
          <wp:positionV relativeFrom="paragraph">
            <wp:posOffset>-262887</wp:posOffset>
          </wp:positionV>
          <wp:extent cx="1828800" cy="714375"/>
          <wp:effectExtent l="0" t="0" r="0" b="0"/>
          <wp:wrapNone/>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828800" cy="714375"/>
                  </a:xfrm>
                  <a:prstGeom prst="rect">
                    <a:avLst/>
                  </a:prstGeom>
                  <a:ln/>
                </pic:spPr>
              </pic:pic>
            </a:graphicData>
          </a:graphic>
        </wp:anchor>
      </w:drawing>
    </w:r>
  </w:p>
  <w:p w14:paraId="5D44D2E8" w14:textId="77777777" w:rsidR="00954D5A" w:rsidRDefault="00954D5A">
    <w:pPr>
      <w:keepNext/>
      <w:numPr>
        <w:ilvl w:val="3"/>
        <w:numId w:val="1"/>
      </w:numPr>
      <w:pBdr>
        <w:top w:val="nil"/>
        <w:left w:val="nil"/>
        <w:bottom w:val="nil"/>
        <w:right w:val="nil"/>
        <w:between w:val="nil"/>
      </w:pBdr>
      <w:rPr>
        <w:rFonts w:ascii="Arial" w:eastAsia="Arial" w:hAnsi="Arial" w:cs="Arial"/>
        <w:color w:val="000000"/>
      </w:rPr>
    </w:pPr>
  </w:p>
  <w:p w14:paraId="345BE3C7" w14:textId="77777777" w:rsidR="00954D5A" w:rsidRDefault="00954D5A">
    <w:pPr>
      <w:pBdr>
        <w:top w:val="nil"/>
        <w:left w:val="nil"/>
        <w:bottom w:val="nil"/>
        <w:right w:val="nil"/>
        <w:between w:val="nil"/>
      </w:pBdr>
      <w:tabs>
        <w:tab w:val="center" w:pos="4252"/>
        <w:tab w:val="right" w:pos="8504"/>
      </w:tabs>
      <w:rPr>
        <w:color w:val="000000"/>
      </w:rPr>
    </w:pPr>
  </w:p>
  <w:p w14:paraId="443E066F" w14:textId="77777777" w:rsidR="00954D5A" w:rsidRDefault="006144D3">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6704" behindDoc="0" locked="0" layoutInCell="1" hidden="0" allowOverlap="1" wp14:anchorId="4A3F9719" wp14:editId="0494871B">
              <wp:simplePos x="0" y="0"/>
              <wp:positionH relativeFrom="column">
                <wp:posOffset>-317499</wp:posOffset>
              </wp:positionH>
              <wp:positionV relativeFrom="paragraph">
                <wp:posOffset>114300</wp:posOffset>
              </wp:positionV>
              <wp:extent cx="6486525" cy="114300"/>
              <wp:effectExtent l="0" t="0" r="0" b="0"/>
              <wp:wrapNone/>
              <wp:docPr id="23"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117"/>
                          </a:srgbClr>
                        </a:outerShdw>
                      </a:effectLst>
                    </wps:spPr>
                    <wps:bodyPr/>
                  </wps:wsp>
                </a:graphicData>
              </a:graphic>
            </wp:anchor>
          </w:drawing>
        </mc:Choice>
        <mc:Fallback>
          <w:pict>
            <v:shapetype w14:anchorId="69F7AF95" id="_x0000_t32" coordsize="21600,21600" o:spt="32" o:oned="t" path="m,l21600,21600e" filled="f">
              <v:path arrowok="t" fillok="f" o:connecttype="none"/>
              <o:lock v:ext="edit" shapetype="t"/>
            </v:shapetype>
            <v:shape id="Conector recto de flecha 23" o:spid="_x0000_s1026" type="#_x0000_t32" style="position:absolute;margin-left:-25pt;margin-top:9pt;width:510.75pt;height:9pt;rotation:180;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" strokecolor="#c00000" strokeweight="3pt">
              <v:stroke startarrowwidth="narrow" startarrowlength="short" endarrowwidth="narrow" endarrowlength="short"/>
              <v:shadow on="t" color="black" opacity="22358f" origin=",.5" offset="0,.63889mm"/>
            </v:shape>
          </w:pict>
        </mc:Fallback>
      </mc:AlternateContent>
    </w:r>
  </w:p>
  <w:p w14:paraId="1A89B28F" w14:textId="77777777" w:rsidR="00954D5A" w:rsidRDefault="006144D3">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7728" behindDoc="0" locked="0" layoutInCell="1" hidden="0" allowOverlap="1" wp14:anchorId="510FD54C" wp14:editId="6776B12E">
              <wp:simplePos x="0" y="0"/>
              <wp:positionH relativeFrom="column">
                <wp:posOffset>-139699</wp:posOffset>
              </wp:positionH>
              <wp:positionV relativeFrom="paragraph">
                <wp:posOffset>76200</wp:posOffset>
              </wp:positionV>
              <wp:extent cx="968375" cy="297180"/>
              <wp:effectExtent l="0" t="0" r="0" b="0"/>
              <wp:wrapNone/>
              <wp:docPr id="26"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6308DC34" w14:textId="77777777" w:rsidR="00954D5A" w:rsidRDefault="006144D3">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510FD54C" id="_x0000_s1027" style="position:absolute;left:0;text-align:left;margin-left:-11pt;margin-top:6pt;width:76.25pt;height:2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" stroked="f">
              <v:textbox inset="2.53958mm,1.2694mm,2.53958mm,1.2694mm">
                <w:txbxContent>
                  <w:p w14:paraId="6308DC34" w14:textId="77777777" w:rsidR="00954D5A" w:rsidRDefault="006144D3">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58752" behindDoc="0" locked="0" layoutInCell="1" hidden="0" allowOverlap="1" wp14:anchorId="4F78131E" wp14:editId="4C8244D5">
              <wp:simplePos x="0" y="0"/>
              <wp:positionH relativeFrom="column">
                <wp:posOffset>3784600</wp:posOffset>
              </wp:positionH>
              <wp:positionV relativeFrom="paragraph">
                <wp:posOffset>76200</wp:posOffset>
              </wp:positionV>
              <wp:extent cx="2247900" cy="281940"/>
              <wp:effectExtent l="0" t="0" r="0" b="0"/>
              <wp:wrapNone/>
              <wp:docPr id="24"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761E5C89" w14:textId="77777777" w:rsidR="00954D5A" w:rsidRDefault="006144D3">
                          <w:pPr>
                            <w:jc w:val="right"/>
                            <w:textDirection w:val="btLr"/>
                          </w:pPr>
                          <w:r>
                            <w:rPr>
                              <w:rFonts w:ascii="Arial" w:eastAsia="Arial" w:hAnsi="Arial" w:cs="Arial"/>
                              <w:color w:val="000000"/>
                              <w:sz w:val="16"/>
                            </w:rPr>
                            <w:t xml:space="preserve">Fecha de Vigencia: </w:t>
                          </w:r>
                          <w:proofErr w:type="gramStart"/>
                          <w:r>
                            <w:rPr>
                              <w:rFonts w:ascii="Arial" w:eastAsia="Arial" w:hAnsi="Arial" w:cs="Arial"/>
                              <w:color w:val="000000"/>
                              <w:sz w:val="16"/>
                            </w:rPr>
                            <w:t>Noviembre</w:t>
                          </w:r>
                          <w:proofErr w:type="gramEnd"/>
                          <w:r>
                            <w:rPr>
                              <w:rFonts w:ascii="Arial" w:eastAsia="Arial" w:hAnsi="Arial" w:cs="Arial"/>
                              <w:color w:val="000000"/>
                              <w:sz w:val="16"/>
                            </w:rPr>
                            <w:t xml:space="preserve"> 14 de 2017</w:t>
                          </w:r>
                        </w:p>
                      </w:txbxContent>
                    </wps:txbx>
                    <wps:bodyPr spcFirstLastPara="1" wrap="square" lIns="91425" tIns="45700" rIns="91425" bIns="45700" anchor="t" anchorCtr="0">
                      <a:noAutofit/>
                    </wps:bodyPr>
                  </wps:wsp>
                </a:graphicData>
              </a:graphic>
            </wp:anchor>
          </w:drawing>
        </mc:Choice>
        <mc:Fallback>
          <w:pict>
            <v:rect w14:anchorId="4F78131E" id="_x0000_s1028" style="position:absolute;left:0;text-align:left;margin-left:298pt;margin-top:6pt;width:177pt;height:22.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" stroked="f">
              <v:textbox inset="2.53958mm,1.2694mm,2.53958mm,1.2694mm">
                <w:txbxContent>
                  <w:p w14:paraId="761E5C89" w14:textId="77777777" w:rsidR="00954D5A" w:rsidRDefault="006144D3">
                    <w:pPr>
                      <w:jc w:val="right"/>
                      <w:textDirection w:val="btLr"/>
                    </w:pPr>
                    <w:r>
                      <w:rPr>
                        <w:rFonts w:ascii="Arial" w:eastAsia="Arial" w:hAnsi="Arial" w:cs="Arial"/>
                        <w:color w:val="000000"/>
                        <w:sz w:val="16"/>
                      </w:rPr>
                      <w:t xml:space="preserve">Fecha de Vigencia: </w:t>
                    </w:r>
                    <w:proofErr w:type="gramStart"/>
                    <w:r>
                      <w:rPr>
                        <w:rFonts w:ascii="Arial" w:eastAsia="Arial" w:hAnsi="Arial" w:cs="Arial"/>
                        <w:color w:val="000000"/>
                        <w:sz w:val="16"/>
                      </w:rPr>
                      <w:t>Noviembre</w:t>
                    </w:r>
                    <w:proofErr w:type="gramEnd"/>
                    <w:r>
                      <w:rPr>
                        <w:rFonts w:ascii="Arial" w:eastAsia="Arial" w:hAnsi="Arial" w:cs="Arial"/>
                        <w:color w:val="000000"/>
                        <w:sz w:val="16"/>
                      </w:rPr>
                      <w:t xml:space="preserve"> 14 de 2017</w:t>
                    </w:r>
                  </w:p>
                </w:txbxContent>
              </v:textbox>
            </v:rect>
          </w:pict>
        </mc:Fallback>
      </mc:AlternateContent>
    </w:r>
  </w:p>
  <w:p w14:paraId="2F93D072" w14:textId="77777777" w:rsidR="00954D5A" w:rsidRDefault="00954D5A">
    <w:pPr>
      <w:keepNext/>
      <w:numPr>
        <w:ilvl w:val="3"/>
        <w:numId w:val="1"/>
      </w:numPr>
      <w:pBdr>
        <w:top w:val="nil"/>
        <w:left w:val="nil"/>
        <w:bottom w:val="nil"/>
        <w:right w:val="nil"/>
        <w:between w:val="nil"/>
      </w:pBdr>
      <w:rPr>
        <w:rFonts w:ascii="Arial" w:eastAsia="Arial" w:hAnsi="Arial" w:cs="Arial"/>
        <w:color w:val="000000"/>
      </w:rPr>
    </w:pPr>
  </w:p>
  <w:p w14:paraId="54B07D9B" w14:textId="77777777" w:rsidR="00954D5A" w:rsidRDefault="00954D5A">
    <w:pPr>
      <w:pBdr>
        <w:top w:val="nil"/>
        <w:left w:val="nil"/>
        <w:bottom w:val="nil"/>
        <w:right w:val="nil"/>
        <w:between w:val="nil"/>
      </w:pBdr>
      <w:rPr>
        <w:rFonts w:ascii="Arial" w:eastAsia="Arial" w:hAnsi="Arial" w:cs="Arial"/>
        <w:b/>
        <w:color w:val="595959"/>
        <w:sz w:val="24"/>
        <w:szCs w:val="24"/>
      </w:rPr>
    </w:pPr>
  </w:p>
  <w:p w14:paraId="11CF7522" w14:textId="77777777" w:rsidR="00954D5A" w:rsidRDefault="006144D3">
    <w:pPr>
      <w:jc w:val="center"/>
      <w:rPr>
        <w:rFonts w:ascii="Arial" w:eastAsia="Arial" w:hAnsi="Arial" w:cs="Arial"/>
        <w:b/>
        <w:sz w:val="24"/>
        <w:szCs w:val="24"/>
      </w:rPr>
    </w:pPr>
    <w:r w:rsidRPr="006144D3">
      <w:rPr>
        <w:rFonts w:ascii="Arial" w:eastAsia="Arial" w:hAnsi="Arial" w:cs="Arial"/>
        <w:b/>
        <w:sz w:val="24"/>
        <w:szCs w:val="24"/>
        <w:highlight w:val="yellow"/>
      </w:rPr>
      <w:t>POR MEDIO DE LA CUAL SE ADOPTA EL MAPA DE RIESGO DE LA CALIDAD DEL AGUA PARA EL CONSUMO HUMANO JUNTA DE ACCIÓN COMUNAL PEREZ BAJO</w:t>
    </w:r>
  </w:p>
  <w:p w14:paraId="5ECD5A50" w14:textId="77777777" w:rsidR="00954D5A" w:rsidRDefault="006144D3">
    <w:pPr>
      <w:jc w:val="center"/>
      <w:rPr>
        <w:rFonts w:ascii="Arial" w:eastAsia="Arial" w:hAnsi="Arial" w:cs="Arial"/>
        <w:b/>
        <w:color w:val="000000"/>
        <w:sz w:val="24"/>
        <w:szCs w:val="24"/>
        <w:highlight w:val="white"/>
      </w:rPr>
    </w:pPr>
    <w:r>
      <w:rPr>
        <w:rFonts w:ascii="Arial" w:eastAsia="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5162"/>
    <w:multiLevelType w:val="multilevel"/>
    <w:tmpl w:val="C3B8F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AA00F56"/>
    <w:multiLevelType w:val="multilevel"/>
    <w:tmpl w:val="0ABAC16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pStyle w:val="Ttulo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5A"/>
    <w:rsid w:val="006144D3"/>
    <w:rsid w:val="0076429B"/>
    <w:rsid w:val="00954D5A"/>
    <w:rsid w:val="00997D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BB21C1"/>
  <w15:docId w15:val="{210315CB-CF62-4FF3-9A63-11EAD2C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HeBVKKdVIabk7I9R2sBoFE0+Q==">AMUW2mUdWcj7Tl93s9MvFeiF3KA4edqfpiTAhDApt5P5JXcgj3hBz/fQysRh3ImzIWKYo6hrptQ2/0WIYwXd/zKecEukA6spTU+hMKH3b0pVo+NnHYVgvbTWGWNI2dJuEOqeqBX8Cl9Q573TPAFdqK6iCbPnM4qGpX+YhxmW4cTHyxanFL2r9cD9UyQm+IuA4Z8YTvi4ywsg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12404</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2021-10-01T11:44:00Z</dcterms:created>
  <dcterms:modified xsi:type="dcterms:W3CDTF">2021-10-01T11:44:00Z</dcterms:modified>
</cp:coreProperties>
</file>