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Que la secretaría de Salud Pública y Seguridad Social de Pereira, después de realizar las acciones para la elaboración del mapa de riesgo del SISTEMA DE SUMINISTRO DE AGUA POTABLE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F23A10" w:rsidRDefault="00F7653A">
      <w:pPr>
        <w:jc w:val="center"/>
        <w:rPr>
          <w:rFonts w:ascii="Calibri" w:eastAsia="Calibri" w:hAnsi="Calibri" w:cs="Calibri"/>
          <w:b/>
          <w:color w:val="000000" w:themeColor="text1"/>
          <w:sz w:val="22"/>
          <w:szCs w:val="22"/>
        </w:rPr>
      </w:pPr>
    </w:p>
    <w:p w14:paraId="522A8957" w14:textId="13CC2389" w:rsidR="00F7653A" w:rsidRPr="002A21FA" w:rsidRDefault="00412B48">
      <w:pPr>
        <w:jc w:val="both"/>
        <w:rPr>
          <w:rFonts w:asciiTheme="minorHAnsi" w:eastAsia="Calibri" w:hAnsiTheme="minorHAnsi" w:cstheme="minorHAnsi"/>
          <w:color w:val="000000" w:themeColor="text1"/>
          <w:sz w:val="22"/>
          <w:szCs w:val="22"/>
        </w:rPr>
      </w:pPr>
      <w:r w:rsidRPr="002A21FA">
        <w:rPr>
          <w:rFonts w:asciiTheme="minorHAnsi" w:eastAsia="Calibri" w:hAnsiTheme="minorHAnsi" w:cstheme="minorHAnsi"/>
          <w:b/>
          <w:color w:val="000000" w:themeColor="text1"/>
          <w:sz w:val="22"/>
          <w:szCs w:val="22"/>
          <w:highlight w:val="yellow"/>
        </w:rPr>
        <w:t>ARTÍCULO PRIMERO</w:t>
      </w:r>
      <w:r w:rsidRPr="002A21FA">
        <w:rPr>
          <w:rFonts w:asciiTheme="minorHAnsi" w:eastAsia="Calibri" w:hAnsiTheme="minorHAnsi" w:cstheme="minorHAnsi"/>
          <w:color w:val="000000" w:themeColor="text1"/>
          <w:sz w:val="22"/>
          <w:szCs w:val="22"/>
          <w:highlight w:val="yellow"/>
        </w:rPr>
        <w:t xml:space="preserve">: </w:t>
      </w:r>
      <w:r w:rsidRPr="002A21FA">
        <w:rPr>
          <w:rFonts w:asciiTheme="minorHAnsi" w:eastAsia="Calibri" w:hAnsiTheme="minorHAnsi" w:cstheme="minorHAnsi"/>
          <w:b/>
          <w:color w:val="000000" w:themeColor="text1"/>
          <w:sz w:val="22"/>
          <w:szCs w:val="22"/>
          <w:highlight w:val="yellow"/>
        </w:rPr>
        <w:t>ADOPTAR EL MAPA DE RIESGO DE LA CALIDAD DEL AGUA PARA EL CONSUMO HUMANO</w:t>
      </w:r>
      <w:r w:rsidRPr="002A21FA">
        <w:rPr>
          <w:rFonts w:asciiTheme="minorHAnsi" w:eastAsia="Calibri" w:hAnsiTheme="minorHAnsi" w:cstheme="minorHAnsi"/>
          <w:color w:val="000000" w:themeColor="text1"/>
          <w:sz w:val="22"/>
          <w:szCs w:val="22"/>
          <w:highlight w:val="yellow"/>
        </w:rPr>
        <w:t xml:space="preserve"> del sistema de abastecimiento de </w:t>
      </w:r>
      <w:r w:rsidR="00F62A73" w:rsidRPr="002A21FA">
        <w:rPr>
          <w:rFonts w:asciiTheme="minorHAnsi" w:hAnsiTheme="minorHAnsi" w:cstheme="minorHAnsi"/>
          <w:b/>
          <w:bCs/>
          <w:sz w:val="22"/>
          <w:szCs w:val="22"/>
          <w:highlight w:val="yellow"/>
        </w:rPr>
        <w:t>JUNTA ADMINISTRADORA ACUEDUCTO MARACAIBO</w:t>
      </w:r>
      <w:r w:rsidR="005C5CF2" w:rsidRPr="002A21FA">
        <w:rPr>
          <w:rFonts w:asciiTheme="minorHAnsi" w:hAnsiTheme="minorHAnsi" w:cstheme="minorHAnsi"/>
          <w:sz w:val="22"/>
          <w:szCs w:val="22"/>
          <w:highlight w:val="yellow"/>
        </w:rPr>
        <w:t xml:space="preserve">, </w:t>
      </w:r>
      <w:r w:rsidRPr="002A21FA">
        <w:rPr>
          <w:rFonts w:asciiTheme="minorHAnsi" w:eastAsia="Calibri" w:hAnsiTheme="minorHAnsi" w:cstheme="minorHAnsi"/>
          <w:color w:val="000000" w:themeColor="text1"/>
          <w:sz w:val="22"/>
          <w:szCs w:val="22"/>
          <w:highlight w:val="yellow"/>
        </w:rPr>
        <w:t xml:space="preserve">con </w:t>
      </w:r>
      <w:r w:rsidRPr="002A21FA">
        <w:rPr>
          <w:rFonts w:asciiTheme="minorHAnsi" w:eastAsia="Calibri" w:hAnsiTheme="minorHAnsi" w:cstheme="minorHAnsi"/>
          <w:b/>
          <w:bCs/>
          <w:color w:val="000000" w:themeColor="text1"/>
          <w:sz w:val="22"/>
          <w:szCs w:val="22"/>
          <w:highlight w:val="yellow"/>
        </w:rPr>
        <w:t xml:space="preserve">Nit </w:t>
      </w:r>
      <w:r w:rsidR="00120BE0" w:rsidRPr="002A21FA">
        <w:rPr>
          <w:rFonts w:asciiTheme="minorHAnsi" w:eastAsia="Calibri" w:hAnsiTheme="minorHAnsi" w:cstheme="minorHAnsi"/>
          <w:b/>
          <w:bCs/>
          <w:color w:val="000000" w:themeColor="text1"/>
          <w:sz w:val="22"/>
          <w:szCs w:val="22"/>
          <w:highlight w:val="yellow"/>
        </w:rPr>
        <w:t>900</w:t>
      </w:r>
      <w:r w:rsidR="002A21FA" w:rsidRPr="002A21FA">
        <w:rPr>
          <w:rFonts w:asciiTheme="minorHAnsi" w:eastAsia="Calibri" w:hAnsiTheme="minorHAnsi" w:cstheme="minorHAnsi"/>
          <w:b/>
          <w:bCs/>
          <w:color w:val="000000" w:themeColor="text1"/>
          <w:sz w:val="22"/>
          <w:szCs w:val="22"/>
          <w:highlight w:val="yellow"/>
        </w:rPr>
        <w:t>.</w:t>
      </w:r>
      <w:r w:rsidR="00120BE0" w:rsidRPr="002A21FA">
        <w:rPr>
          <w:rFonts w:asciiTheme="minorHAnsi" w:eastAsia="Calibri" w:hAnsiTheme="minorHAnsi" w:cstheme="minorHAnsi"/>
          <w:b/>
          <w:bCs/>
          <w:color w:val="000000" w:themeColor="text1"/>
          <w:sz w:val="22"/>
          <w:szCs w:val="22"/>
          <w:highlight w:val="yellow"/>
        </w:rPr>
        <w:t>610</w:t>
      </w:r>
      <w:r w:rsidR="002A21FA" w:rsidRPr="002A21FA">
        <w:rPr>
          <w:rFonts w:asciiTheme="minorHAnsi" w:eastAsia="Calibri" w:hAnsiTheme="minorHAnsi" w:cstheme="minorHAnsi"/>
          <w:b/>
          <w:bCs/>
          <w:color w:val="000000" w:themeColor="text1"/>
          <w:sz w:val="22"/>
          <w:szCs w:val="22"/>
          <w:highlight w:val="yellow"/>
        </w:rPr>
        <w:t>.</w:t>
      </w:r>
      <w:r w:rsidR="00120BE0" w:rsidRPr="002A21FA">
        <w:rPr>
          <w:rFonts w:asciiTheme="minorHAnsi" w:eastAsia="Calibri" w:hAnsiTheme="minorHAnsi" w:cstheme="minorHAnsi"/>
          <w:b/>
          <w:bCs/>
          <w:color w:val="000000" w:themeColor="text1"/>
          <w:sz w:val="22"/>
          <w:szCs w:val="22"/>
          <w:highlight w:val="yellow"/>
        </w:rPr>
        <w:t>142-1</w:t>
      </w:r>
      <w:r w:rsidR="00F23A10" w:rsidRPr="002A21FA">
        <w:rPr>
          <w:rFonts w:asciiTheme="minorHAnsi" w:eastAsia="Calibri" w:hAnsiTheme="minorHAnsi" w:cstheme="minorHAnsi"/>
          <w:color w:val="000000" w:themeColor="text1"/>
          <w:sz w:val="22"/>
          <w:szCs w:val="22"/>
          <w:highlight w:val="yellow"/>
        </w:rPr>
        <w:t xml:space="preserve"> </w:t>
      </w:r>
      <w:r w:rsidRPr="002A21FA">
        <w:rPr>
          <w:rFonts w:asciiTheme="minorHAnsi" w:eastAsia="Calibri" w:hAnsiTheme="minorHAnsi" w:cstheme="minorHAnsi"/>
          <w:color w:val="000000" w:themeColor="text1"/>
          <w:sz w:val="22"/>
          <w:szCs w:val="22"/>
          <w:highlight w:val="yellow"/>
        </w:rPr>
        <w:t xml:space="preserve">cuyo representante legal es el señor (a), </w:t>
      </w:r>
      <w:r w:rsidR="00120BE0" w:rsidRPr="002A21FA">
        <w:rPr>
          <w:rFonts w:asciiTheme="minorHAnsi" w:eastAsia="Calibri" w:hAnsiTheme="minorHAnsi" w:cstheme="minorHAnsi"/>
          <w:b/>
          <w:bCs/>
          <w:color w:val="000000" w:themeColor="text1"/>
          <w:sz w:val="22"/>
          <w:szCs w:val="22"/>
          <w:highlight w:val="yellow"/>
        </w:rPr>
        <w:t>LUIS ANÍBAL RODAS</w:t>
      </w:r>
    </w:p>
    <w:p w14:paraId="44E3AA8B" w14:textId="77777777" w:rsidR="00F7653A" w:rsidRPr="005C5CF2" w:rsidRDefault="00F7653A">
      <w:pPr>
        <w:jc w:val="both"/>
        <w:rPr>
          <w:rFonts w:ascii="Calibri" w:eastAsia="Calibri" w:hAnsi="Calibri" w:cs="Calibri"/>
          <w:b/>
          <w:color w:val="000000" w:themeColor="text1"/>
          <w:sz w:val="22"/>
          <w:szCs w:val="22"/>
        </w:rPr>
      </w:pPr>
    </w:p>
    <w:p w14:paraId="6D126B76" w14:textId="77777777" w:rsidR="00F7653A" w:rsidRDefault="00412B48">
      <w:pPr>
        <w:jc w:val="both"/>
        <w:rPr>
          <w:rFonts w:ascii="Calibri" w:eastAsia="Calibri" w:hAnsi="Calibri" w:cs="Calibri"/>
          <w:sz w:val="22"/>
          <w:szCs w:val="22"/>
        </w:rPr>
      </w:pPr>
      <w:r w:rsidRPr="005C5CF2">
        <w:rPr>
          <w:rFonts w:ascii="Calibri" w:eastAsia="Calibri" w:hAnsi="Calibri" w:cs="Calibri"/>
          <w:b/>
          <w:color w:val="000000" w:themeColor="text1"/>
          <w:sz w:val="22"/>
          <w:szCs w:val="22"/>
        </w:rPr>
        <w:t>PARÁGRAFO</w:t>
      </w:r>
      <w:r w:rsidRPr="005C5CF2">
        <w:rPr>
          <w:rFonts w:ascii="Calibri" w:eastAsia="Calibri" w:hAnsi="Calibri" w:cs="Calibri"/>
          <w:color w:val="000000" w:themeColor="text1"/>
          <w:sz w:val="22"/>
          <w:szCs w:val="22"/>
        </w:rPr>
        <w:t xml:space="preserve">: Hacen parte integral de la presente resolución </w:t>
      </w:r>
      <w:r w:rsidRPr="005C5CF2">
        <w:rPr>
          <w:rFonts w:ascii="Calibri" w:eastAsia="Calibri" w:hAnsi="Calibri" w:cs="Calibri"/>
          <w:sz w:val="22"/>
          <w:szCs w:val="22"/>
        </w:rPr>
        <w:t>el Anexo</w:t>
      </w:r>
      <w:r>
        <w:rPr>
          <w:rFonts w:ascii="Calibri" w:eastAsia="Calibri" w:hAnsi="Calibri" w:cs="Calibri"/>
          <w:sz w:val="22"/>
          <w:szCs w:val="22"/>
        </w:rPr>
        <w:t xml:space="preserve">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4567B89E"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345A6929" w:rsidR="00F7653A" w:rsidRDefault="00412B48">
    <w:pPr>
      <w:jc w:val="center"/>
      <w:rPr>
        <w:rFonts w:ascii="Arial" w:eastAsia="Arial" w:hAnsi="Arial" w:cs="Arial"/>
        <w:b/>
        <w:sz w:val="24"/>
        <w:szCs w:val="24"/>
      </w:rPr>
    </w:pPr>
    <w:r w:rsidRPr="002A21FA">
      <w:rPr>
        <w:rFonts w:ascii="Arial" w:eastAsia="Arial" w:hAnsi="Arial" w:cs="Arial"/>
        <w:b/>
        <w:sz w:val="24"/>
        <w:szCs w:val="24"/>
        <w:highlight w:val="yellow"/>
      </w:rPr>
      <w:t>POR MEDIO DE LA CUAL SE ADOPTA EL MAPA DE RIESGO DE LA CALIDAD DEL AGUA PARA EL CONSUMO H</w:t>
    </w:r>
    <w:r w:rsidR="00F62A73" w:rsidRPr="002A21FA">
      <w:rPr>
        <w:rFonts w:ascii="Arial" w:eastAsia="Arial" w:hAnsi="Arial" w:cs="Arial"/>
        <w:b/>
        <w:sz w:val="24"/>
        <w:szCs w:val="24"/>
        <w:highlight w:val="yellow"/>
      </w:rPr>
      <w:t xml:space="preserve">UMANO </w:t>
    </w:r>
    <w:r w:rsidR="00F62A73" w:rsidRPr="002A21FA">
      <w:rPr>
        <w:rFonts w:ascii="Arial" w:hAnsi="Arial" w:cs="Arial"/>
        <w:b/>
        <w:bCs/>
        <w:sz w:val="24"/>
        <w:szCs w:val="24"/>
        <w:highlight w:val="yellow"/>
      </w:rPr>
      <w:t>JUNTA ADMINISTRADORA ACUEDUCTO MARACAIBO</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120BE0"/>
    <w:rsid w:val="0020714A"/>
    <w:rsid w:val="002A21FA"/>
    <w:rsid w:val="002B13A9"/>
    <w:rsid w:val="002F1C24"/>
    <w:rsid w:val="00412B48"/>
    <w:rsid w:val="00466A96"/>
    <w:rsid w:val="0051759B"/>
    <w:rsid w:val="005321BD"/>
    <w:rsid w:val="005C5CF2"/>
    <w:rsid w:val="007842EA"/>
    <w:rsid w:val="0079166D"/>
    <w:rsid w:val="007C1021"/>
    <w:rsid w:val="00910B7A"/>
    <w:rsid w:val="00A73017"/>
    <w:rsid w:val="00B70936"/>
    <w:rsid w:val="00BC3A98"/>
    <w:rsid w:val="00DB399A"/>
    <w:rsid w:val="00F23A10"/>
    <w:rsid w:val="00F62A73"/>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2038</Words>
  <Characters>11209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2021-10-05T01:14:00Z</dcterms:created>
  <dcterms:modified xsi:type="dcterms:W3CDTF">2021-10-05T01:14:00Z</dcterms:modified>
</cp:coreProperties>
</file>