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56693921" w14:textId="787CCD7C"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sidRPr="000216BD">
        <w:rPr>
          <w:rFonts w:ascii="Calibri" w:eastAsia="Calibri" w:hAnsi="Calibri" w:cs="Calibri"/>
          <w:sz w:val="22"/>
          <w:szCs w:val="22"/>
        </w:rPr>
        <w:t>secretaría</w:t>
      </w:r>
      <w:r w:rsidRPr="000216BD">
        <w:rPr>
          <w:rFonts w:ascii="Calibri" w:eastAsia="Calibri" w:hAnsi="Calibri" w:cs="Calibri"/>
          <w:color w:val="000000"/>
          <w:sz w:val="22"/>
          <w:szCs w:val="22"/>
        </w:rPr>
        <w:t xml:space="preserve"> de Salud Pública y Seguridad Social de Pereira, después de realizar las acciones para la elaboración del mapa de riesgo a la</w:t>
      </w:r>
      <w:r w:rsidR="00B11FD6" w:rsidRPr="000216BD">
        <w:rPr>
          <w:rFonts w:ascii="Calibri" w:eastAsia="Calibri" w:hAnsi="Calibri" w:cs="Calibri"/>
          <w:color w:val="000000"/>
          <w:sz w:val="22"/>
          <w:szCs w:val="22"/>
        </w:rPr>
        <w:t xml:space="preserve"> </w:t>
      </w:r>
      <w:r w:rsidR="00B11FD6" w:rsidRPr="00810987">
        <w:rPr>
          <w:rFonts w:ascii="Calibri" w:hAnsi="Calibri" w:cs="Calibri"/>
          <w:b/>
          <w:bCs/>
          <w:color w:val="000000" w:themeColor="text1"/>
          <w:sz w:val="22"/>
          <w:szCs w:val="22"/>
        </w:rPr>
        <w:t>JUNTA ADMINISTRADORA DEL ACUEDUCTO LA SUIZA</w:t>
      </w:r>
      <w:r w:rsidRPr="00810987">
        <w:rPr>
          <w:rFonts w:ascii="Calibri" w:eastAsia="Calibri" w:hAnsi="Calibri" w:cs="Calibri"/>
          <w:color w:val="000000" w:themeColor="text1"/>
          <w:sz w:val="22"/>
          <w:szCs w:val="22"/>
        </w:rPr>
        <w:t xml:space="preserve"> </w:t>
      </w:r>
      <w:r w:rsidRPr="000216BD">
        <w:rPr>
          <w:rFonts w:ascii="Calibri" w:eastAsia="Calibri" w:hAnsi="Calibri" w:cs="Calibri"/>
          <w:color w:val="000000"/>
          <w:sz w:val="22"/>
          <w:szCs w:val="22"/>
        </w:rPr>
        <w:t>de la jurisdicción de Pereira, durante la vigencia</w:t>
      </w:r>
      <w:r w:rsidRPr="00B11FD6">
        <w:rPr>
          <w:rFonts w:ascii="Calibri" w:eastAsia="Calibri" w:hAnsi="Calibri" w:cs="Calibri"/>
          <w:color w:val="000000"/>
          <w:sz w:val="22"/>
          <w:szCs w:val="22"/>
        </w:rPr>
        <w:t xml:space="preserve"> del añ</w:t>
      </w:r>
      <w:r>
        <w:rPr>
          <w:rFonts w:ascii="Calibri" w:eastAsia="Calibri" w:hAnsi="Calibri" w:cs="Calibri"/>
          <w:color w:val="000000"/>
          <w:sz w:val="22"/>
          <w:szCs w:val="22"/>
        </w:rPr>
        <w:t>o 202</w:t>
      </w:r>
      <w:r>
        <w:rPr>
          <w:rFonts w:ascii="Calibri" w:eastAsia="Calibri" w:hAnsi="Calibri" w:cs="Calibri"/>
          <w:sz w:val="22"/>
          <w:szCs w:val="22"/>
        </w:rPr>
        <w:t>1</w:t>
      </w:r>
      <w:r>
        <w:rPr>
          <w:rFonts w:ascii="Calibri" w:eastAsia="Calibri" w:hAnsi="Calibri" w:cs="Calibri"/>
          <w:color w:val="000000"/>
          <w:sz w:val="22"/>
          <w:szCs w:val="22"/>
        </w:rPr>
        <w:t>, y evaluar la información y análisis del agua, se encontró:</w:t>
      </w:r>
    </w:p>
    <w:p w14:paraId="1DC185A0" w14:textId="77777777" w:rsidR="00F7653A" w:rsidRDefault="00F7653A">
      <w:pPr>
        <w:jc w:val="both"/>
        <w:rPr>
          <w:rFonts w:ascii="Calibri" w:eastAsia="Calibri" w:hAnsi="Calibri" w:cs="Calibri"/>
          <w:sz w:val="22"/>
          <w:szCs w:val="22"/>
        </w:rPr>
      </w:pPr>
    </w:p>
    <w:p w14:paraId="4712DF35" w14:textId="297BE42F" w:rsidR="00D45B2A" w:rsidRDefault="00810987" w:rsidP="008D65B4">
      <w:pPr>
        <w:pBdr>
          <w:top w:val="nil"/>
          <w:left w:val="nil"/>
          <w:bottom w:val="nil"/>
          <w:right w:val="nil"/>
          <w:between w:val="nil"/>
        </w:pBdr>
        <w:spacing w:after="119"/>
        <w:ind w:left="708" w:firstLine="12"/>
        <w:jc w:val="both"/>
        <w:rPr>
          <w:rFonts w:ascii="Calibri" w:hAnsi="Calibri" w:cs="Calibri"/>
          <w:sz w:val="22"/>
          <w:szCs w:val="22"/>
        </w:rPr>
      </w:pPr>
      <w:r w:rsidRPr="00810987">
        <w:rPr>
          <w:rFonts w:ascii="Calibri" w:hAnsi="Calibri" w:cs="Calibri"/>
          <w:b/>
          <w:bCs/>
          <w:color w:val="000000"/>
          <w:sz w:val="22"/>
          <w:szCs w:val="22"/>
        </w:rPr>
        <w:t>JUNTA ADMINISTRADORA DEL ACUEDUCTO LA SUIZA:</w:t>
      </w:r>
      <w:r w:rsidR="00412B48">
        <w:rPr>
          <w:rFonts w:ascii="Calibri" w:eastAsia="Calibri" w:hAnsi="Calibri" w:cs="Calibri"/>
          <w:color w:val="FF0000"/>
          <w:sz w:val="22"/>
          <w:szCs w:val="22"/>
        </w:rPr>
        <w:t xml:space="preserve"> </w:t>
      </w:r>
      <w:r w:rsidR="00412B48">
        <w:rPr>
          <w:rFonts w:ascii="Calibri" w:eastAsia="Calibri" w:hAnsi="Calibri" w:cs="Calibri"/>
          <w:color w:val="000000"/>
          <w:sz w:val="22"/>
          <w:szCs w:val="22"/>
        </w:rPr>
        <w:t>se elaboró con base en inspección ocular</w:t>
      </w:r>
      <w:r w:rsidR="00F918F0">
        <w:rPr>
          <w:rFonts w:ascii="Calibri" w:eastAsia="Calibri" w:hAnsi="Calibri" w:cs="Calibri"/>
          <w:color w:val="000000"/>
          <w:sz w:val="22"/>
          <w:szCs w:val="22"/>
        </w:rPr>
        <w:t xml:space="preserve"> DMS-023-21 </w:t>
      </w:r>
      <w:r w:rsidR="00412B48">
        <w:rPr>
          <w:rFonts w:ascii="Calibri" w:eastAsia="Calibri" w:hAnsi="Calibri" w:cs="Calibri"/>
          <w:color w:val="000000"/>
          <w:sz w:val="22"/>
          <w:szCs w:val="22"/>
        </w:rPr>
        <w:t>del</w:t>
      </w:r>
      <w:r w:rsidR="00272BF9">
        <w:rPr>
          <w:rFonts w:ascii="Calibri" w:eastAsia="Calibri" w:hAnsi="Calibri" w:cs="Calibri"/>
          <w:color w:val="000000"/>
          <w:sz w:val="22"/>
          <w:szCs w:val="22"/>
        </w:rPr>
        <w:t xml:space="preserve"> 23 de junio del 2021</w:t>
      </w:r>
      <w:r w:rsidR="00412B48">
        <w:rPr>
          <w:rFonts w:ascii="Calibri" w:eastAsia="Calibri" w:hAnsi="Calibri" w:cs="Calibri"/>
          <w:color w:val="000000"/>
          <w:sz w:val="22"/>
          <w:szCs w:val="22"/>
        </w:rPr>
        <w:t xml:space="preserve">, informe técnico que origina el anexo técnico I, donde se indica que </w:t>
      </w:r>
      <w:r w:rsidR="00412B48" w:rsidRPr="008D65B4">
        <w:rPr>
          <w:rFonts w:ascii="Calibri" w:eastAsia="Calibri" w:hAnsi="Calibri" w:cs="Calibri"/>
          <w:color w:val="000000"/>
          <w:sz w:val="22"/>
          <w:szCs w:val="22"/>
        </w:rPr>
        <w:t>al momento de la visita las condiciones del agua en fuente abastecedora</w:t>
      </w:r>
      <w:r w:rsidR="00D45B2A" w:rsidRPr="008D65B4">
        <w:rPr>
          <w:rFonts w:ascii="Calibri" w:eastAsia="Calibri" w:hAnsi="Calibri" w:cs="Calibri"/>
          <w:color w:val="000000"/>
          <w:sz w:val="22"/>
          <w:szCs w:val="22"/>
        </w:rPr>
        <w:t xml:space="preserve"> </w:t>
      </w:r>
      <w:r w:rsidR="00D45B2A" w:rsidRPr="008D65B4">
        <w:rPr>
          <w:rFonts w:ascii="Calibri" w:hAnsi="Calibri" w:cs="Calibri"/>
          <w:sz w:val="22"/>
          <w:szCs w:val="22"/>
        </w:rPr>
        <w:t>La presente actualización presenta los mismos hallazgos al considerar que el acueducto se encuentra dentro de zona de protección.</w:t>
      </w:r>
      <w:r w:rsidR="008D65B4" w:rsidRPr="008D65B4">
        <w:rPr>
          <w:rFonts w:ascii="Calibri" w:eastAsia="Calibri" w:hAnsi="Calibri" w:cs="Calibri"/>
          <w:color w:val="000000"/>
          <w:sz w:val="22"/>
          <w:szCs w:val="22"/>
        </w:rPr>
        <w:t xml:space="preserve"> </w:t>
      </w:r>
      <w:r w:rsidR="00D45B2A" w:rsidRPr="008D65B4">
        <w:rPr>
          <w:rFonts w:ascii="Calibri" w:hAnsi="Calibri" w:cs="Calibri"/>
          <w:sz w:val="22"/>
          <w:szCs w:val="22"/>
        </w:rPr>
        <w:t xml:space="preserve">Este afloramiento de agua cuenta con una franja de protección buena en su cauce, compuesto principalmente bosque nativo y en regeneración, </w:t>
      </w:r>
      <w:bookmarkStart w:id="0" w:name="_Hlk490617135"/>
      <w:r w:rsidR="00D45B2A" w:rsidRPr="008D65B4">
        <w:rPr>
          <w:rFonts w:ascii="Calibri" w:hAnsi="Calibri" w:cs="Calibri"/>
          <w:sz w:val="22"/>
          <w:szCs w:val="22"/>
        </w:rPr>
        <w:t>no se evidenció presencia de cultivos o actividades antrópicas de influencia, las pendientes abarcan diferentes niveles, con presencia de material rocoso en todo el recorrido de la microcuenca lo que favorece la presencia de material de arrastre y sedimentación acompañado de marial en suspensión propio de la zona de protección boscosa, en la presente actualización persisten los mismo usos sin intervenciones identificadas.</w:t>
      </w:r>
    </w:p>
    <w:p w14:paraId="4FC37EC8" w14:textId="77777777" w:rsidR="00476CCC" w:rsidRDefault="008D65B4" w:rsidP="00476CCC">
      <w:pPr>
        <w:pBdr>
          <w:top w:val="nil"/>
          <w:left w:val="nil"/>
          <w:bottom w:val="nil"/>
          <w:right w:val="nil"/>
          <w:between w:val="nil"/>
        </w:pBdr>
        <w:spacing w:after="119"/>
        <w:ind w:left="708" w:firstLine="12"/>
        <w:jc w:val="both"/>
        <w:rPr>
          <w:rFonts w:ascii="Calibri" w:eastAsia="Calibri" w:hAnsi="Calibri" w:cs="Calibri"/>
          <w:color w:val="000000"/>
          <w:sz w:val="22"/>
          <w:szCs w:val="22"/>
        </w:rPr>
      </w:pPr>
      <w:r w:rsidRPr="00800F55">
        <w:rPr>
          <w:rFonts w:ascii="Arial" w:eastAsia="Calibri" w:hAnsi="Arial" w:cs="Arial"/>
          <w:noProof/>
          <w:sz w:val="22"/>
          <w:szCs w:val="22"/>
          <w:lang w:eastAsia="es-CO"/>
        </w:rPr>
        <w:drawing>
          <wp:inline distT="0" distB="0" distL="0" distR="0" wp14:anchorId="0C5D9A9D" wp14:editId="7E01277D">
            <wp:extent cx="3657600" cy="2244512"/>
            <wp:effectExtent l="0" t="0" r="0" b="381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290" cy="2260277"/>
                    </a:xfrm>
                    <a:prstGeom prst="rect">
                      <a:avLst/>
                    </a:prstGeom>
                    <a:noFill/>
                  </pic:spPr>
                </pic:pic>
              </a:graphicData>
            </a:graphic>
          </wp:inline>
        </w:drawing>
      </w:r>
      <w:bookmarkStart w:id="1" w:name="_Hlk490657348"/>
    </w:p>
    <w:p w14:paraId="14658FE7" w14:textId="63F1D69F" w:rsidR="008D65B4" w:rsidRPr="00476CCC" w:rsidRDefault="008D65B4" w:rsidP="00476CCC">
      <w:pPr>
        <w:pBdr>
          <w:top w:val="nil"/>
          <w:left w:val="nil"/>
          <w:bottom w:val="nil"/>
          <w:right w:val="nil"/>
          <w:between w:val="nil"/>
        </w:pBdr>
        <w:spacing w:after="119"/>
        <w:ind w:left="708" w:firstLine="12"/>
        <w:jc w:val="both"/>
        <w:rPr>
          <w:rFonts w:ascii="Calibri" w:eastAsia="Calibri" w:hAnsi="Calibri" w:cs="Calibri"/>
          <w:color w:val="000000"/>
          <w:sz w:val="22"/>
          <w:szCs w:val="22"/>
        </w:rPr>
      </w:pPr>
      <w:r w:rsidRPr="00476CCC">
        <w:rPr>
          <w:rFonts w:ascii="Calibri" w:hAnsi="Calibri" w:cs="Calibri"/>
          <w:sz w:val="22"/>
          <w:szCs w:val="22"/>
        </w:rPr>
        <w:t xml:space="preserve">La Matriz de Evaluación de Impacto Ambiental permite observar como la oferta hídrica y la calidad del recurso hídrico se pueden ver afectadas, principalmente </w:t>
      </w:r>
      <w:bookmarkEnd w:id="1"/>
      <w:r w:rsidRPr="00476CCC">
        <w:rPr>
          <w:rFonts w:ascii="Calibri" w:hAnsi="Calibri" w:cs="Calibri"/>
          <w:sz w:val="22"/>
          <w:szCs w:val="22"/>
        </w:rPr>
        <w:t>por el mismo bosque que lo rodea y que representa la franja de protección, el arrastre de materia orgánica y la fauna propia del mismo serían los aportantes de sedimentos al sistema.</w:t>
      </w:r>
    </w:p>
    <w:bookmarkEnd w:id="0"/>
    <w:p w14:paraId="6217063E" w14:textId="77777777" w:rsidR="00723258" w:rsidRDefault="00723258">
      <w:pPr>
        <w:pBdr>
          <w:top w:val="nil"/>
          <w:left w:val="nil"/>
          <w:bottom w:val="nil"/>
          <w:right w:val="nil"/>
          <w:between w:val="nil"/>
        </w:pBdr>
        <w:spacing w:after="119"/>
        <w:ind w:left="708" w:firstLine="12"/>
        <w:jc w:val="both"/>
        <w:rPr>
          <w:rFonts w:ascii="Calibri" w:eastAsia="Calibri" w:hAnsi="Calibri" w:cs="Calibri"/>
          <w:color w:val="FF0000"/>
          <w:sz w:val="22"/>
          <w:szCs w:val="22"/>
        </w:rPr>
      </w:pPr>
    </w:p>
    <w:p w14:paraId="62A5B054"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w:t>
      </w:r>
      <w:r>
        <w:rPr>
          <w:rFonts w:ascii="Calibri" w:eastAsia="Calibri" w:hAnsi="Calibri" w:cs="Calibri"/>
          <w:color w:val="000000"/>
          <w:sz w:val="22"/>
          <w:szCs w:val="22"/>
        </w:rPr>
        <w:lastRenderedPageBreak/>
        <w:t xml:space="preserve">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pueden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748F47CC" w14:textId="77777777" w:rsidR="00F7653A" w:rsidRDefault="00F7653A">
      <w:pPr>
        <w:tabs>
          <w:tab w:val="left" w:pos="7250"/>
        </w:tabs>
        <w:jc w:val="both"/>
        <w:rPr>
          <w:rFonts w:ascii="Calibri" w:eastAsia="Calibri" w:hAnsi="Calibri" w:cs="Calibri"/>
          <w:sz w:val="22"/>
          <w:szCs w:val="22"/>
        </w:rPr>
      </w:pP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xml:space="preserve">: es el conjunto de acciones periódicas realizadas por la autoridad sanitaria o por las personas prestadoras que suministran o </w:t>
      </w:r>
      <w:r>
        <w:rPr>
          <w:rFonts w:ascii="Calibri" w:eastAsia="Calibri" w:hAnsi="Calibri" w:cs="Calibri"/>
          <w:sz w:val="22"/>
          <w:szCs w:val="22"/>
        </w:rPr>
        <w:lastRenderedPageBreak/>
        <w:t>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47BDE81F" w14:textId="77777777" w:rsidR="00F7653A" w:rsidRDefault="00F7653A">
      <w:pPr>
        <w:jc w:val="center"/>
        <w:rPr>
          <w:rFonts w:ascii="Calibri" w:eastAsia="Calibri" w:hAnsi="Calibri" w:cs="Calibri"/>
          <w:color w:val="000000"/>
          <w:sz w:val="22"/>
          <w:szCs w:val="22"/>
        </w:rPr>
      </w:pPr>
    </w:p>
    <w:p w14:paraId="08D1AA7A" w14:textId="77777777" w:rsidR="00F7653A" w:rsidRDefault="00F7653A" w:rsidP="007F6D83">
      <w:pPr>
        <w:rPr>
          <w:rFonts w:ascii="Calibri" w:eastAsia="Calibri" w:hAnsi="Calibri" w:cs="Calibri"/>
          <w:sz w:val="22"/>
          <w:szCs w:val="22"/>
        </w:rPr>
      </w:pPr>
    </w:p>
    <w:p w14:paraId="6E85C9F8" w14:textId="77777777"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1DA227C5" w14:textId="77777777" w:rsidR="00F7653A" w:rsidRDefault="00F7653A">
      <w:pPr>
        <w:jc w:val="center"/>
        <w:rPr>
          <w:rFonts w:ascii="Calibri" w:eastAsia="Calibri" w:hAnsi="Calibri" w:cs="Calibri"/>
          <w:b/>
          <w:sz w:val="22"/>
          <w:szCs w:val="22"/>
        </w:rPr>
      </w:pPr>
    </w:p>
    <w:p w14:paraId="70DC6563" w14:textId="77777777" w:rsidR="00F7653A" w:rsidRDefault="00F7653A">
      <w:pPr>
        <w:jc w:val="center"/>
        <w:rPr>
          <w:rFonts w:ascii="Calibri" w:eastAsia="Calibri" w:hAnsi="Calibri" w:cs="Calibri"/>
          <w:b/>
          <w:sz w:val="22"/>
          <w:szCs w:val="22"/>
        </w:rPr>
      </w:pPr>
    </w:p>
    <w:p w14:paraId="522A8957" w14:textId="5CA30FF3" w:rsidR="00F7653A" w:rsidRDefault="00412B48">
      <w:pPr>
        <w:jc w:val="both"/>
        <w:rPr>
          <w:rFonts w:ascii="Calibri" w:eastAsia="Calibri" w:hAnsi="Calibri" w:cs="Calibri"/>
          <w:sz w:val="22"/>
          <w:szCs w:val="22"/>
        </w:rPr>
      </w:pPr>
      <w:r>
        <w:rPr>
          <w:rFonts w:ascii="Calibri" w:eastAsia="Calibri" w:hAnsi="Calibri" w:cs="Calibri"/>
          <w:b/>
          <w:sz w:val="22"/>
          <w:szCs w:val="22"/>
        </w:rPr>
        <w:t>ARTÍCULO PRIMERO</w:t>
      </w:r>
      <w:r>
        <w:rPr>
          <w:rFonts w:ascii="Calibri" w:eastAsia="Calibri" w:hAnsi="Calibri" w:cs="Calibri"/>
          <w:sz w:val="22"/>
          <w:szCs w:val="22"/>
        </w:rPr>
        <w:t xml:space="preserve">: </w:t>
      </w:r>
      <w:r>
        <w:rPr>
          <w:rFonts w:ascii="Calibri" w:eastAsia="Calibri" w:hAnsi="Calibri" w:cs="Calibri"/>
          <w:b/>
          <w:sz w:val="22"/>
          <w:szCs w:val="22"/>
        </w:rPr>
        <w:t>ADOPTAR EL MAPA DE RIESGO DE LA CALIDAD DEL AGUA PARA EL CONSUMO HUMANO</w:t>
      </w:r>
      <w:r>
        <w:rPr>
          <w:rFonts w:ascii="Calibri" w:eastAsia="Calibri" w:hAnsi="Calibri" w:cs="Calibri"/>
          <w:sz w:val="22"/>
          <w:szCs w:val="22"/>
        </w:rPr>
        <w:t xml:space="preserve"> del sistema de abastecimiento de </w:t>
      </w:r>
      <w:r w:rsidR="00A175D3" w:rsidRPr="00810987">
        <w:rPr>
          <w:rFonts w:ascii="Calibri" w:hAnsi="Calibri" w:cs="Calibri"/>
          <w:b/>
          <w:bCs/>
          <w:color w:val="000000"/>
          <w:sz w:val="22"/>
          <w:szCs w:val="22"/>
        </w:rPr>
        <w:t>JUNTA ADMINISTRADORA DEL ACUEDUCTO LA SUIZA</w:t>
      </w:r>
      <w:r>
        <w:rPr>
          <w:rFonts w:ascii="Calibri" w:eastAsia="Calibri" w:hAnsi="Calibri" w:cs="Calibri"/>
          <w:sz w:val="22"/>
          <w:szCs w:val="22"/>
        </w:rPr>
        <w:t>, con Nit</w:t>
      </w:r>
      <w:r w:rsidR="00A175D3">
        <w:rPr>
          <w:rFonts w:ascii="Calibri" w:eastAsia="Calibri" w:hAnsi="Calibri" w:cs="Calibri"/>
          <w:sz w:val="22"/>
          <w:szCs w:val="22"/>
        </w:rPr>
        <w:t xml:space="preserve"> 8</w:t>
      </w:r>
      <w:r w:rsidR="004275B3">
        <w:rPr>
          <w:rFonts w:ascii="Calibri" w:eastAsia="Calibri" w:hAnsi="Calibri" w:cs="Calibri"/>
          <w:sz w:val="22"/>
          <w:szCs w:val="22"/>
        </w:rPr>
        <w:t xml:space="preserve">16005030-4 </w:t>
      </w:r>
      <w:r>
        <w:rPr>
          <w:rFonts w:ascii="Calibri" w:eastAsia="Calibri" w:hAnsi="Calibri" w:cs="Calibri"/>
          <w:sz w:val="22"/>
          <w:szCs w:val="22"/>
        </w:rPr>
        <w:t>cuyo representante legal es el señor (a),</w:t>
      </w:r>
      <w:r w:rsidR="004275B3">
        <w:rPr>
          <w:rFonts w:ascii="Calibri" w:eastAsia="Calibri" w:hAnsi="Calibri" w:cs="Calibri"/>
          <w:sz w:val="22"/>
          <w:szCs w:val="22"/>
        </w:rPr>
        <w:t xml:space="preserve"> EDDIE QUIÑONEZ SUAREZ</w:t>
      </w:r>
    </w:p>
    <w:p w14:paraId="44E3AA8B" w14:textId="77777777" w:rsidR="00F7653A" w:rsidRDefault="00F7653A">
      <w:pPr>
        <w:jc w:val="both"/>
        <w:rPr>
          <w:rFonts w:ascii="Calibri" w:eastAsia="Calibri" w:hAnsi="Calibri" w:cs="Calibri"/>
          <w:b/>
          <w:sz w:val="22"/>
          <w:szCs w:val="22"/>
        </w:rPr>
      </w:pPr>
    </w:p>
    <w:p w14:paraId="6D126B76" w14:textId="4DA1613A" w:rsidR="00F7653A" w:rsidRPr="00542B7E" w:rsidRDefault="00412B48" w:rsidP="00542B7E">
      <w:pPr>
        <w:jc w:val="both"/>
        <w:rPr>
          <w:rFonts w:asciiTheme="minorHAnsi" w:hAnsiTheme="minorHAnsi" w:cstheme="minorHAnsi"/>
          <w:b/>
          <w:bCs/>
          <w:i/>
          <w:iCs/>
          <w:color w:val="000000"/>
          <w:sz w:val="18"/>
          <w:szCs w:val="18"/>
        </w:rPr>
      </w:pPr>
      <w:r>
        <w:rPr>
          <w:rFonts w:ascii="Calibri" w:eastAsia="Calibri" w:hAnsi="Calibri" w:cs="Calibri"/>
          <w:b/>
          <w:sz w:val="22"/>
          <w:szCs w:val="22"/>
        </w:rPr>
        <w:t>PARÁGRAFO</w:t>
      </w:r>
      <w:r>
        <w:rPr>
          <w:rFonts w:ascii="Calibri" w:eastAsia="Calibri" w:hAnsi="Calibri" w:cs="Calibri"/>
          <w:sz w:val="22"/>
          <w:szCs w:val="22"/>
        </w:rPr>
        <w:t>: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bookmarkStart w:id="2" w:name="_Hlk57279917"/>
      <w:r w:rsidR="00542B7E" w:rsidRPr="00542B7E">
        <w:rPr>
          <w:rFonts w:asciiTheme="minorHAnsi" w:hAnsiTheme="minorHAnsi" w:cstheme="minorHAnsi"/>
          <w:b/>
          <w:bCs/>
          <w:i/>
          <w:iCs/>
          <w:color w:val="000000"/>
          <w:sz w:val="14"/>
          <w:szCs w:val="14"/>
        </w:rPr>
        <w:t xml:space="preserve"> </w:t>
      </w:r>
      <w:r w:rsidR="00542B7E" w:rsidRPr="00542B7E">
        <w:rPr>
          <w:rFonts w:asciiTheme="minorHAnsi" w:hAnsiTheme="minorHAnsi" w:cstheme="minorHAnsi"/>
          <w:b/>
          <w:bCs/>
          <w:i/>
          <w:iCs/>
          <w:color w:val="000000"/>
          <w:sz w:val="18"/>
          <w:szCs w:val="18"/>
        </w:rPr>
        <w:t>“Dando continuidad al trámite relacionado con la elaboración del mapa de riesgo de la calidad del agua para consumo humano, con base en la frecuencia y número de muestras de control de la calidad física y química y microbiológica establecidos en el Artículo 21 y 22 de la Resolución 2115 de 2007, y debido a que no se allegaron los resultados de los análisis solicitados en el anexo técnico I, entregado mediante el radicado 32875, se debe generar plan correctivo de los muestreos fisicoquímicos y microbiológicos solicitados en el anexo técnico I en red de distribución</w:t>
      </w:r>
      <w:bookmarkEnd w:id="2"/>
      <w:r w:rsidR="00542B7E" w:rsidRPr="00542B7E">
        <w:rPr>
          <w:rFonts w:asciiTheme="minorHAnsi" w:hAnsiTheme="minorHAnsi" w:cstheme="minorHAnsi"/>
          <w:b/>
          <w:bCs/>
          <w:i/>
          <w:iCs/>
          <w:color w:val="000000"/>
          <w:sz w:val="18"/>
          <w:szCs w:val="18"/>
        </w:rPr>
        <w:t xml:space="preserve"> y en bocatoma”</w:t>
      </w:r>
    </w:p>
    <w:p w14:paraId="76B18D51" w14:textId="77777777" w:rsidR="00F7653A" w:rsidRDefault="00F7653A">
      <w:pPr>
        <w:jc w:val="both"/>
        <w:rPr>
          <w:rFonts w:ascii="Calibri" w:eastAsia="Calibri" w:hAnsi="Calibri" w:cs="Calibri"/>
          <w:b/>
          <w:sz w:val="22"/>
          <w:szCs w:val="22"/>
        </w:rPr>
      </w:pPr>
    </w:p>
    <w:p w14:paraId="14875B95"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ARTICULO SEGUNDO</w:t>
      </w:r>
      <w:r>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y allegar los resultados antes del primer trimestre del año 2022 a esta Autoridad Sanitaria para su evolución, consolidación y actualización de Mapa de Riesgos de Agua para el Consumo Humano. </w:t>
      </w:r>
    </w:p>
    <w:p w14:paraId="27D1200C" w14:textId="77777777" w:rsidR="00F7653A" w:rsidRDefault="00F7653A">
      <w:pPr>
        <w:jc w:val="both"/>
        <w:rPr>
          <w:rFonts w:ascii="Calibri" w:eastAsia="Calibri" w:hAnsi="Calibri" w:cs="Calibri"/>
          <w:sz w:val="22"/>
          <w:szCs w:val="22"/>
          <w:highlight w:val="yellow"/>
        </w:rPr>
      </w:pPr>
    </w:p>
    <w:tbl>
      <w:tblPr>
        <w:tblStyle w:val="a"/>
        <w:tblW w:w="8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316"/>
        <w:gridCol w:w="1176"/>
        <w:gridCol w:w="1518"/>
        <w:gridCol w:w="1756"/>
        <w:gridCol w:w="1660"/>
        <w:gridCol w:w="1874"/>
      </w:tblGrid>
      <w:tr w:rsidR="00F7653A" w14:paraId="7C3C3E2C" w14:textId="77777777" w:rsidTr="004056EF">
        <w:trPr>
          <w:trHeight w:val="480"/>
        </w:trPr>
        <w:tc>
          <w:tcPr>
            <w:tcW w:w="8829" w:type="dxa"/>
            <w:gridSpan w:val="7"/>
            <w:shd w:val="clear" w:color="auto" w:fill="F2F2F2"/>
            <w:vAlign w:val="center"/>
          </w:tcPr>
          <w:p w14:paraId="1CC739B0" w14:textId="77777777" w:rsidR="00F7653A" w:rsidRDefault="00412B48">
            <w:pPr>
              <w:jc w:val="center"/>
              <w:rPr>
                <w:rFonts w:ascii="Arial" w:eastAsia="Arial" w:hAnsi="Arial" w:cs="Arial"/>
                <w:b/>
                <w:sz w:val="18"/>
                <w:szCs w:val="18"/>
              </w:rPr>
            </w:pPr>
            <w:r>
              <w:rPr>
                <w:rFonts w:ascii="Arial" w:eastAsia="Arial" w:hAnsi="Arial" w:cs="Arial"/>
                <w:b/>
                <w:sz w:val="18"/>
                <w:szCs w:val="18"/>
              </w:rPr>
              <w:t xml:space="preserve">Persona Prestadora de Acueducto: </w:t>
            </w:r>
          </w:p>
          <w:p w14:paraId="21FCD9CC" w14:textId="500BBBDB" w:rsidR="00F7653A" w:rsidRDefault="004056EF">
            <w:pPr>
              <w:pBdr>
                <w:top w:val="nil"/>
                <w:left w:val="nil"/>
                <w:bottom w:val="nil"/>
                <w:right w:val="nil"/>
                <w:between w:val="nil"/>
              </w:pBdr>
              <w:jc w:val="center"/>
              <w:rPr>
                <w:rFonts w:ascii="Arial" w:eastAsia="Arial" w:hAnsi="Arial" w:cs="Arial"/>
                <w:color w:val="000000"/>
                <w:sz w:val="18"/>
                <w:szCs w:val="18"/>
              </w:rPr>
            </w:pPr>
            <w:r w:rsidRPr="00810987">
              <w:rPr>
                <w:rFonts w:ascii="Calibri" w:hAnsi="Calibri" w:cs="Calibri"/>
                <w:b/>
                <w:bCs/>
                <w:color w:val="000000"/>
                <w:sz w:val="22"/>
                <w:szCs w:val="22"/>
              </w:rPr>
              <w:t>JUNTA ADMINISTRADORA DEL ACUEDUCTO LA SUIZA</w:t>
            </w:r>
          </w:p>
        </w:tc>
      </w:tr>
      <w:tr w:rsidR="00F7653A" w14:paraId="615AE1A1" w14:textId="77777777" w:rsidTr="00FD616D">
        <w:trPr>
          <w:trHeight w:val="300"/>
        </w:trPr>
        <w:tc>
          <w:tcPr>
            <w:tcW w:w="529" w:type="dxa"/>
            <w:vMerge w:val="restart"/>
            <w:vAlign w:val="center"/>
          </w:tcPr>
          <w:p w14:paraId="4A2EC328" w14:textId="77777777" w:rsidR="004056EF" w:rsidRDefault="00412B48">
            <w:pPr>
              <w:ind w:left="113" w:right="113"/>
              <w:jc w:val="center"/>
              <w:rPr>
                <w:rFonts w:ascii="Arial" w:eastAsia="Arial" w:hAnsi="Arial" w:cs="Arial"/>
                <w:b/>
                <w:color w:val="000000"/>
                <w:sz w:val="18"/>
                <w:szCs w:val="18"/>
              </w:rPr>
            </w:pPr>
            <w:r>
              <w:rPr>
                <w:rFonts w:ascii="Arial" w:eastAsia="Arial" w:hAnsi="Arial" w:cs="Arial"/>
                <w:b/>
                <w:color w:val="000000"/>
                <w:sz w:val="18"/>
                <w:szCs w:val="18"/>
              </w:rPr>
              <w:t>AFLUENTE</w:t>
            </w:r>
          </w:p>
          <w:p w14:paraId="7EEB1E98" w14:textId="77777777" w:rsidR="004056EF" w:rsidRDefault="00412B48">
            <w:pPr>
              <w:ind w:left="113" w:right="113"/>
              <w:jc w:val="center"/>
              <w:rPr>
                <w:rFonts w:ascii="Arial" w:eastAsia="Arial" w:hAnsi="Arial" w:cs="Arial"/>
                <w:b/>
                <w:color w:val="000000"/>
                <w:sz w:val="18"/>
                <w:szCs w:val="18"/>
              </w:rPr>
            </w:pPr>
            <w:r>
              <w:rPr>
                <w:rFonts w:ascii="Arial" w:eastAsia="Arial" w:hAnsi="Arial" w:cs="Arial"/>
                <w:b/>
                <w:color w:val="000000"/>
                <w:sz w:val="18"/>
                <w:szCs w:val="18"/>
              </w:rPr>
              <w:t xml:space="preserve"> QUEBRADA </w:t>
            </w:r>
          </w:p>
          <w:p w14:paraId="6380E453" w14:textId="77777777" w:rsidR="004056EF" w:rsidRDefault="004056EF">
            <w:pPr>
              <w:ind w:left="113" w:right="113"/>
              <w:jc w:val="center"/>
              <w:rPr>
                <w:rFonts w:ascii="Arial" w:eastAsia="Arial" w:hAnsi="Arial" w:cs="Arial"/>
                <w:b/>
                <w:color w:val="000000"/>
                <w:sz w:val="18"/>
                <w:szCs w:val="18"/>
              </w:rPr>
            </w:pPr>
          </w:p>
          <w:p w14:paraId="47C95171" w14:textId="77777777" w:rsidR="004056EF" w:rsidRDefault="004056EF">
            <w:pPr>
              <w:ind w:left="113" w:right="113"/>
              <w:jc w:val="center"/>
              <w:rPr>
                <w:rFonts w:ascii="Arial" w:eastAsia="Arial" w:hAnsi="Arial" w:cs="Arial"/>
                <w:b/>
                <w:color w:val="000000"/>
                <w:sz w:val="18"/>
                <w:szCs w:val="18"/>
              </w:rPr>
            </w:pPr>
            <w:r>
              <w:rPr>
                <w:rFonts w:ascii="Arial" w:eastAsia="Arial" w:hAnsi="Arial" w:cs="Arial"/>
                <w:b/>
                <w:color w:val="000000"/>
                <w:sz w:val="18"/>
                <w:szCs w:val="18"/>
              </w:rPr>
              <w:t>PALO</w:t>
            </w:r>
          </w:p>
          <w:p w14:paraId="4E857261" w14:textId="77777777" w:rsidR="004056EF" w:rsidRDefault="004056EF">
            <w:pPr>
              <w:ind w:left="113" w:right="113"/>
              <w:jc w:val="center"/>
              <w:rPr>
                <w:rFonts w:ascii="Arial" w:eastAsia="Arial" w:hAnsi="Arial" w:cs="Arial"/>
                <w:b/>
                <w:color w:val="000000"/>
                <w:sz w:val="18"/>
                <w:szCs w:val="18"/>
              </w:rPr>
            </w:pPr>
          </w:p>
          <w:p w14:paraId="2E2A20BC" w14:textId="20914D8D" w:rsidR="00F7653A" w:rsidRDefault="004056EF">
            <w:pPr>
              <w:ind w:left="113" w:right="113"/>
              <w:jc w:val="center"/>
              <w:rPr>
                <w:rFonts w:ascii="Arial" w:eastAsia="Arial" w:hAnsi="Arial" w:cs="Arial"/>
                <w:b/>
                <w:color w:val="000000"/>
                <w:sz w:val="18"/>
                <w:szCs w:val="18"/>
              </w:rPr>
            </w:pPr>
            <w:r>
              <w:rPr>
                <w:rFonts w:ascii="Arial" w:eastAsia="Arial" w:hAnsi="Arial" w:cs="Arial"/>
                <w:b/>
                <w:color w:val="000000"/>
                <w:sz w:val="18"/>
                <w:szCs w:val="18"/>
              </w:rPr>
              <w:lastRenderedPageBreak/>
              <w:t>BLANCO</w:t>
            </w:r>
          </w:p>
        </w:tc>
        <w:tc>
          <w:tcPr>
            <w:tcW w:w="316" w:type="dxa"/>
            <w:vMerge w:val="restart"/>
            <w:vAlign w:val="center"/>
          </w:tcPr>
          <w:p w14:paraId="2136A4CA" w14:textId="77777777" w:rsidR="00F7653A" w:rsidRPr="00FD616D" w:rsidRDefault="00412B48">
            <w:pPr>
              <w:ind w:left="113" w:right="113"/>
              <w:jc w:val="center"/>
              <w:rPr>
                <w:rFonts w:ascii="Arial" w:eastAsia="Arial" w:hAnsi="Arial" w:cs="Arial"/>
                <w:b/>
                <w:color w:val="000000" w:themeColor="text1"/>
                <w:sz w:val="18"/>
                <w:szCs w:val="18"/>
              </w:rPr>
            </w:pPr>
            <w:r w:rsidRPr="00FD616D">
              <w:rPr>
                <w:rFonts w:ascii="Arial" w:eastAsia="Arial" w:hAnsi="Arial" w:cs="Arial"/>
                <w:b/>
                <w:color w:val="000000" w:themeColor="text1"/>
                <w:sz w:val="18"/>
                <w:szCs w:val="18"/>
              </w:rPr>
              <w:lastRenderedPageBreak/>
              <w:t>BOCATOMA</w:t>
            </w:r>
          </w:p>
        </w:tc>
        <w:tc>
          <w:tcPr>
            <w:tcW w:w="1176" w:type="dxa"/>
            <w:vMerge w:val="restart"/>
            <w:vAlign w:val="center"/>
          </w:tcPr>
          <w:p w14:paraId="485CA0B7" w14:textId="77777777" w:rsidR="00F7653A" w:rsidRPr="00FD616D" w:rsidRDefault="00412B48">
            <w:pPr>
              <w:jc w:val="center"/>
              <w:rPr>
                <w:rFonts w:ascii="Arial" w:eastAsia="Arial" w:hAnsi="Arial" w:cs="Arial"/>
                <w:b/>
                <w:color w:val="000000" w:themeColor="text1"/>
                <w:sz w:val="16"/>
                <w:szCs w:val="16"/>
              </w:rPr>
            </w:pPr>
            <w:r w:rsidRPr="00FD616D">
              <w:rPr>
                <w:rFonts w:ascii="Arial" w:eastAsia="Arial" w:hAnsi="Arial" w:cs="Arial"/>
                <w:b/>
                <w:color w:val="000000" w:themeColor="text1"/>
                <w:sz w:val="16"/>
                <w:szCs w:val="16"/>
              </w:rPr>
              <w:t>USO DEL SUELO</w:t>
            </w:r>
          </w:p>
        </w:tc>
        <w:tc>
          <w:tcPr>
            <w:tcW w:w="1518" w:type="dxa"/>
            <w:vMerge w:val="restart"/>
            <w:vAlign w:val="center"/>
          </w:tcPr>
          <w:p w14:paraId="248E6353" w14:textId="77777777" w:rsidR="00F7653A" w:rsidRPr="00FD616D" w:rsidRDefault="00412B48">
            <w:pPr>
              <w:jc w:val="center"/>
              <w:rPr>
                <w:rFonts w:ascii="Arial" w:eastAsia="Arial" w:hAnsi="Arial" w:cs="Arial"/>
                <w:b/>
                <w:color w:val="000000" w:themeColor="text1"/>
                <w:sz w:val="16"/>
                <w:szCs w:val="16"/>
              </w:rPr>
            </w:pPr>
            <w:r w:rsidRPr="00FD616D">
              <w:rPr>
                <w:rFonts w:ascii="Arial" w:eastAsia="Arial" w:hAnsi="Arial" w:cs="Arial"/>
                <w:b/>
                <w:color w:val="000000" w:themeColor="text1"/>
                <w:sz w:val="16"/>
                <w:szCs w:val="16"/>
              </w:rPr>
              <w:t>ACTIVIDAD CONTAMINANTE DE LA FUENTE ABASTECEDORA DEL ACUEDUCTO</w:t>
            </w:r>
          </w:p>
        </w:tc>
        <w:tc>
          <w:tcPr>
            <w:tcW w:w="5290" w:type="dxa"/>
            <w:gridSpan w:val="3"/>
            <w:vAlign w:val="center"/>
          </w:tcPr>
          <w:p w14:paraId="05852EA3" w14:textId="77777777" w:rsidR="00F7653A" w:rsidRPr="00FD616D" w:rsidRDefault="00412B48">
            <w:pPr>
              <w:jc w:val="center"/>
              <w:rPr>
                <w:rFonts w:ascii="Arial" w:eastAsia="Arial" w:hAnsi="Arial" w:cs="Arial"/>
                <w:b/>
                <w:color w:val="000000" w:themeColor="text1"/>
                <w:sz w:val="16"/>
                <w:szCs w:val="16"/>
              </w:rPr>
            </w:pPr>
            <w:r w:rsidRPr="00FD616D">
              <w:rPr>
                <w:rFonts w:ascii="Arial" w:eastAsia="Arial" w:hAnsi="Arial" w:cs="Arial"/>
                <w:b/>
                <w:color w:val="000000" w:themeColor="text1"/>
                <w:sz w:val="16"/>
                <w:szCs w:val="16"/>
              </w:rPr>
              <w:t>CARACTERISTICAS FISICAS, QUIMICAS Y MICROBIOLOGICAS PREVIAS</w:t>
            </w:r>
          </w:p>
        </w:tc>
      </w:tr>
      <w:tr w:rsidR="00F7653A" w14:paraId="0D3B7322" w14:textId="77777777" w:rsidTr="00FD616D">
        <w:trPr>
          <w:trHeight w:val="373"/>
        </w:trPr>
        <w:tc>
          <w:tcPr>
            <w:tcW w:w="529" w:type="dxa"/>
            <w:vMerge/>
            <w:vAlign w:val="center"/>
          </w:tcPr>
          <w:p w14:paraId="768EC317"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316" w:type="dxa"/>
            <w:vMerge/>
            <w:vAlign w:val="center"/>
          </w:tcPr>
          <w:p w14:paraId="5DDF2EE2" w14:textId="77777777" w:rsidR="00F7653A" w:rsidRPr="00FD616D" w:rsidRDefault="00F7653A">
            <w:pPr>
              <w:widowControl w:val="0"/>
              <w:pBdr>
                <w:top w:val="nil"/>
                <w:left w:val="nil"/>
                <w:bottom w:val="nil"/>
                <w:right w:val="nil"/>
                <w:between w:val="nil"/>
              </w:pBdr>
              <w:spacing w:line="276" w:lineRule="auto"/>
              <w:rPr>
                <w:rFonts w:ascii="Arial" w:eastAsia="Arial" w:hAnsi="Arial" w:cs="Arial"/>
                <w:b/>
                <w:color w:val="000000" w:themeColor="text1"/>
                <w:sz w:val="16"/>
                <w:szCs w:val="16"/>
              </w:rPr>
            </w:pPr>
          </w:p>
        </w:tc>
        <w:tc>
          <w:tcPr>
            <w:tcW w:w="1176" w:type="dxa"/>
            <w:vMerge/>
            <w:vAlign w:val="center"/>
          </w:tcPr>
          <w:p w14:paraId="561672BC" w14:textId="77777777" w:rsidR="00F7653A" w:rsidRPr="00FD616D" w:rsidRDefault="00F7653A">
            <w:pPr>
              <w:widowControl w:val="0"/>
              <w:pBdr>
                <w:top w:val="nil"/>
                <w:left w:val="nil"/>
                <w:bottom w:val="nil"/>
                <w:right w:val="nil"/>
                <w:between w:val="nil"/>
              </w:pBdr>
              <w:spacing w:line="276" w:lineRule="auto"/>
              <w:rPr>
                <w:rFonts w:ascii="Arial" w:eastAsia="Arial" w:hAnsi="Arial" w:cs="Arial"/>
                <w:b/>
                <w:color w:val="000000" w:themeColor="text1"/>
                <w:sz w:val="16"/>
                <w:szCs w:val="16"/>
              </w:rPr>
            </w:pPr>
          </w:p>
        </w:tc>
        <w:tc>
          <w:tcPr>
            <w:tcW w:w="1518" w:type="dxa"/>
            <w:vMerge/>
            <w:vAlign w:val="center"/>
          </w:tcPr>
          <w:p w14:paraId="363C7FF2" w14:textId="77777777" w:rsidR="00F7653A" w:rsidRPr="00FD616D" w:rsidRDefault="00F7653A">
            <w:pPr>
              <w:widowControl w:val="0"/>
              <w:pBdr>
                <w:top w:val="nil"/>
                <w:left w:val="nil"/>
                <w:bottom w:val="nil"/>
                <w:right w:val="nil"/>
                <w:between w:val="nil"/>
              </w:pBdr>
              <w:spacing w:line="276" w:lineRule="auto"/>
              <w:rPr>
                <w:rFonts w:ascii="Arial" w:eastAsia="Arial" w:hAnsi="Arial" w:cs="Arial"/>
                <w:b/>
                <w:color w:val="000000" w:themeColor="text1"/>
                <w:sz w:val="16"/>
                <w:szCs w:val="16"/>
              </w:rPr>
            </w:pPr>
          </w:p>
        </w:tc>
        <w:tc>
          <w:tcPr>
            <w:tcW w:w="1756" w:type="dxa"/>
            <w:vAlign w:val="center"/>
          </w:tcPr>
          <w:p w14:paraId="4A054519" w14:textId="77777777" w:rsidR="00F7653A" w:rsidRPr="00FD616D" w:rsidRDefault="00412B48">
            <w:pPr>
              <w:jc w:val="center"/>
              <w:rPr>
                <w:rFonts w:ascii="Arial" w:eastAsia="Arial" w:hAnsi="Arial" w:cs="Arial"/>
                <w:b/>
                <w:color w:val="000000" w:themeColor="text1"/>
                <w:sz w:val="16"/>
                <w:szCs w:val="16"/>
              </w:rPr>
            </w:pPr>
            <w:r w:rsidRPr="00FD616D">
              <w:rPr>
                <w:rFonts w:ascii="Arial" w:eastAsia="Arial" w:hAnsi="Arial" w:cs="Arial"/>
                <w:b/>
                <w:color w:val="000000" w:themeColor="text1"/>
                <w:sz w:val="16"/>
                <w:szCs w:val="16"/>
              </w:rPr>
              <w:t xml:space="preserve">FÍSICAS </w:t>
            </w:r>
          </w:p>
        </w:tc>
        <w:tc>
          <w:tcPr>
            <w:tcW w:w="1660" w:type="dxa"/>
            <w:vAlign w:val="center"/>
          </w:tcPr>
          <w:p w14:paraId="4738B649" w14:textId="77777777" w:rsidR="00F7653A" w:rsidRPr="00FD616D" w:rsidRDefault="00412B48">
            <w:pPr>
              <w:jc w:val="center"/>
              <w:rPr>
                <w:rFonts w:ascii="Arial" w:eastAsia="Arial" w:hAnsi="Arial" w:cs="Arial"/>
                <w:b/>
                <w:color w:val="000000" w:themeColor="text1"/>
                <w:sz w:val="16"/>
                <w:szCs w:val="16"/>
              </w:rPr>
            </w:pPr>
            <w:r w:rsidRPr="00FD616D">
              <w:rPr>
                <w:rFonts w:ascii="Arial" w:eastAsia="Arial" w:hAnsi="Arial" w:cs="Arial"/>
                <w:b/>
                <w:color w:val="000000" w:themeColor="text1"/>
                <w:sz w:val="16"/>
                <w:szCs w:val="16"/>
              </w:rPr>
              <w:t xml:space="preserve">QUÍMICAS </w:t>
            </w:r>
          </w:p>
        </w:tc>
        <w:tc>
          <w:tcPr>
            <w:tcW w:w="1874" w:type="dxa"/>
            <w:vAlign w:val="center"/>
          </w:tcPr>
          <w:p w14:paraId="65B5DF11" w14:textId="77777777" w:rsidR="00F7653A" w:rsidRPr="00FD616D" w:rsidRDefault="00412B48">
            <w:pPr>
              <w:jc w:val="center"/>
              <w:rPr>
                <w:rFonts w:ascii="Arial" w:eastAsia="Arial" w:hAnsi="Arial" w:cs="Arial"/>
                <w:b/>
                <w:color w:val="000000" w:themeColor="text1"/>
                <w:sz w:val="16"/>
                <w:szCs w:val="16"/>
              </w:rPr>
            </w:pPr>
            <w:r w:rsidRPr="00FD616D">
              <w:rPr>
                <w:rFonts w:ascii="Arial" w:eastAsia="Arial" w:hAnsi="Arial" w:cs="Arial"/>
                <w:b/>
                <w:color w:val="000000" w:themeColor="text1"/>
                <w:sz w:val="16"/>
                <w:szCs w:val="16"/>
              </w:rPr>
              <w:t xml:space="preserve"> MICROBIOLÓGICAS</w:t>
            </w:r>
          </w:p>
        </w:tc>
      </w:tr>
      <w:tr w:rsidR="004056EF" w14:paraId="0AD17E8D" w14:textId="77777777" w:rsidTr="00FD616D">
        <w:trPr>
          <w:trHeight w:val="2116"/>
        </w:trPr>
        <w:tc>
          <w:tcPr>
            <w:tcW w:w="529" w:type="dxa"/>
            <w:vMerge/>
            <w:vAlign w:val="center"/>
          </w:tcPr>
          <w:p w14:paraId="3CBC9EAB" w14:textId="77777777" w:rsidR="004056EF" w:rsidRDefault="004056EF">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316" w:type="dxa"/>
            <w:vMerge/>
            <w:vAlign w:val="center"/>
          </w:tcPr>
          <w:p w14:paraId="2B1FCC41" w14:textId="77777777" w:rsidR="004056EF" w:rsidRPr="00FD616D" w:rsidRDefault="004056EF">
            <w:pPr>
              <w:widowControl w:val="0"/>
              <w:pBdr>
                <w:top w:val="nil"/>
                <w:left w:val="nil"/>
                <w:bottom w:val="nil"/>
                <w:right w:val="nil"/>
                <w:between w:val="nil"/>
              </w:pBdr>
              <w:spacing w:line="276" w:lineRule="auto"/>
              <w:rPr>
                <w:rFonts w:ascii="Arial" w:eastAsia="Arial" w:hAnsi="Arial" w:cs="Arial"/>
                <w:b/>
                <w:color w:val="000000" w:themeColor="text1"/>
                <w:sz w:val="16"/>
                <w:szCs w:val="16"/>
              </w:rPr>
            </w:pPr>
          </w:p>
        </w:tc>
        <w:tc>
          <w:tcPr>
            <w:tcW w:w="1176" w:type="dxa"/>
            <w:vAlign w:val="center"/>
          </w:tcPr>
          <w:p w14:paraId="7DEBB40C" w14:textId="45E81410" w:rsidR="004056EF" w:rsidRPr="00FD616D" w:rsidRDefault="004056EF" w:rsidP="00B02BCF">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BOSQUE</w:t>
            </w:r>
          </w:p>
        </w:tc>
        <w:tc>
          <w:tcPr>
            <w:tcW w:w="1518" w:type="dxa"/>
            <w:vAlign w:val="center"/>
          </w:tcPr>
          <w:p w14:paraId="566739C7" w14:textId="1D23F1A5" w:rsidR="004056EF" w:rsidRPr="00FD616D" w:rsidRDefault="004056EF" w:rsidP="000D4E31">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DE ORIGEN NATURAL</w:t>
            </w:r>
          </w:p>
        </w:tc>
        <w:tc>
          <w:tcPr>
            <w:tcW w:w="1756" w:type="dxa"/>
            <w:vAlign w:val="center"/>
          </w:tcPr>
          <w:p w14:paraId="52177CFB" w14:textId="77777777" w:rsidR="004056EF" w:rsidRPr="00FD616D" w:rsidRDefault="004056EF">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TURBIEDAD</w:t>
            </w:r>
          </w:p>
          <w:p w14:paraId="74611B05" w14:textId="77777777" w:rsidR="004056EF" w:rsidRPr="00FD616D" w:rsidRDefault="004056EF">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CONDUCTIVIDAD</w:t>
            </w:r>
          </w:p>
          <w:p w14:paraId="1F5923BD" w14:textId="77777777" w:rsidR="004056EF" w:rsidRPr="00FD616D" w:rsidRDefault="004056EF">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COLOR APARENTE</w:t>
            </w:r>
          </w:p>
          <w:p w14:paraId="5120663A" w14:textId="4854686F" w:rsidR="004056EF" w:rsidRPr="00FD616D" w:rsidRDefault="004056EF">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SOLIDOS TOTALES</w:t>
            </w:r>
          </w:p>
        </w:tc>
        <w:tc>
          <w:tcPr>
            <w:tcW w:w="1660" w:type="dxa"/>
            <w:vAlign w:val="center"/>
          </w:tcPr>
          <w:p w14:paraId="10F471F7" w14:textId="77777777" w:rsidR="004056EF" w:rsidRPr="00FD616D" w:rsidRDefault="00FD616D">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NITRITOS</w:t>
            </w:r>
          </w:p>
          <w:p w14:paraId="5D090B22" w14:textId="3E63381F" w:rsidR="00FD616D" w:rsidRPr="00FD616D" w:rsidRDefault="00FD616D">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NITRATOS</w:t>
            </w:r>
          </w:p>
        </w:tc>
        <w:tc>
          <w:tcPr>
            <w:tcW w:w="1874" w:type="dxa"/>
            <w:vAlign w:val="center"/>
          </w:tcPr>
          <w:p w14:paraId="11A1F939" w14:textId="77777777" w:rsidR="004056EF" w:rsidRPr="00FD616D" w:rsidRDefault="00FD616D">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COLIFORMES TOTALES</w:t>
            </w:r>
          </w:p>
          <w:p w14:paraId="6F475784" w14:textId="77777777" w:rsidR="00FD616D" w:rsidRPr="00FD616D" w:rsidRDefault="00FD616D">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FECALES</w:t>
            </w:r>
          </w:p>
          <w:p w14:paraId="3EFCFF0D" w14:textId="358F24F0" w:rsidR="00FD616D" w:rsidRPr="00FD616D" w:rsidRDefault="00FD616D">
            <w:pPr>
              <w:spacing w:after="160"/>
              <w:jc w:val="center"/>
              <w:rPr>
                <w:rFonts w:ascii="Arial" w:eastAsia="Arial" w:hAnsi="Arial" w:cs="Arial"/>
                <w:color w:val="000000" w:themeColor="text1"/>
                <w:sz w:val="18"/>
                <w:szCs w:val="18"/>
              </w:rPr>
            </w:pPr>
            <w:r w:rsidRPr="00FD616D">
              <w:rPr>
                <w:rFonts w:ascii="Arial" w:eastAsia="Arial" w:hAnsi="Arial" w:cs="Arial"/>
                <w:color w:val="000000" w:themeColor="text1"/>
                <w:sz w:val="18"/>
                <w:szCs w:val="18"/>
              </w:rPr>
              <w:t>E COLI</w:t>
            </w:r>
          </w:p>
        </w:tc>
      </w:tr>
    </w:tbl>
    <w:p w14:paraId="6227E470" w14:textId="77777777" w:rsidR="00F7653A" w:rsidRDefault="00F7653A">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21A19F62" w14:textId="77777777" w:rsidR="00E72926" w:rsidRDefault="00E72926" w:rsidP="00E72926">
      <w:pPr>
        <w:spacing w:after="200"/>
        <w:jc w:val="both"/>
        <w:rPr>
          <w:rFonts w:ascii="Calibri" w:eastAsia="Calibri" w:hAnsi="Calibri" w:cs="Calibri"/>
          <w:b/>
          <w:sz w:val="22"/>
          <w:szCs w:val="22"/>
        </w:rPr>
      </w:pPr>
    </w:p>
    <w:p w14:paraId="506C2733"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lastRenderedPageBreak/>
        <w:t>Elaboró:</w:t>
      </w:r>
      <w:r>
        <w:rPr>
          <w:rFonts w:ascii="Calibri" w:eastAsia="Calibri" w:hAnsi="Calibri" w:cs="Calibri"/>
          <w:b/>
          <w:sz w:val="16"/>
          <w:szCs w:val="16"/>
        </w:rPr>
        <w:tab/>
        <w:t xml:space="preserve">                   DANIEL FELIPE RUIZ CUERVO</w:t>
      </w:r>
    </w:p>
    <w:p w14:paraId="6028BCFF"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15E76AF1" w14:textId="77777777" w:rsidR="00E72926" w:rsidRDefault="00E72926" w:rsidP="00E72926">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69FE4D08"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ab/>
      </w:r>
    </w:p>
    <w:p w14:paraId="5BDE0F8F"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7107D11D"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53EE4284"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767A9AE4" w14:textId="77777777" w:rsidR="00E72926" w:rsidRDefault="00E72926" w:rsidP="00E72926">
      <w:pPr>
        <w:jc w:val="both"/>
        <w:rPr>
          <w:rFonts w:ascii="Calibri" w:eastAsia="Calibri" w:hAnsi="Calibri" w:cs="Calibri"/>
          <w:b/>
          <w:sz w:val="16"/>
          <w:szCs w:val="16"/>
        </w:rPr>
      </w:pPr>
    </w:p>
    <w:p w14:paraId="58950DF8"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6945C7B8"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350BDBE0" w14:textId="77777777" w:rsidR="00E72926" w:rsidRDefault="00E72926" w:rsidP="00E72926">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0266F2D6" w14:textId="1F83E2D4" w:rsidR="00F7653A" w:rsidRDefault="00412B48">
      <w:pPr>
        <w:ind w:left="708" w:firstLine="708"/>
        <w:jc w:val="both"/>
        <w:rPr>
          <w:rFonts w:ascii="Calibri" w:eastAsia="Calibri" w:hAnsi="Calibri" w:cs="Calibri"/>
          <w:sz w:val="22"/>
          <w:szCs w:val="22"/>
        </w:rPr>
      </w:pPr>
      <w:r>
        <w:rPr>
          <w:rFonts w:ascii="Calibri" w:eastAsia="Calibri" w:hAnsi="Calibri" w:cs="Calibri"/>
          <w:b/>
          <w:sz w:val="16"/>
          <w:szCs w:val="16"/>
        </w:rPr>
        <w:t>de Salud Pública y Seguridad Social de Pereira</w:t>
      </w:r>
    </w:p>
    <w:sectPr w:rsidR="00F7653A">
      <w:headerReference w:type="default" r:id="rId9"/>
      <w:footerReference w:type="default" r:id="rId10"/>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rPr>
      <mc:AlternateContent>
        <mc:Choice Requires="wpg">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-126999</wp:posOffset>
              </wp:positionV>
              <wp:extent cx="5153025" cy="775335"/>
              <wp:effectExtent b="0" l="0" r="0" t="0"/>
              <wp:wrapNone/>
              <wp:docPr id="125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153025" cy="77533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pPr>
      <w:pStyle w:val="Ttulo4"/>
      <w:ind w:left="864" w:hanging="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pPr>
      <w:pStyle w:val="Ttulo4"/>
      <w:ind w:left="864" w:hanging="864"/>
      <w:jc w:val="left"/>
      <w:rPr>
        <w:rFonts w:ascii="Arial" w:eastAsia="Arial" w:hAnsi="Arial" w:cs="Arial"/>
        <w:b w:val="0"/>
        <w:sz w:val="20"/>
      </w:rPr>
    </w:pPr>
    <w:r>
      <w:rPr>
        <w:noProof/>
      </w:rPr>
      <mc:AlternateContent>
        <mc:Choice Requires="wpg">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190500</wp:posOffset>
              </wp:positionV>
              <wp:extent cx="6410325" cy="38100"/>
              <wp:effectExtent b="0" l="0" r="0" t="0"/>
              <wp:wrapNone/>
              <wp:docPr id="125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410325" cy="38100"/>
                      </a:xfrm>
                      <a:prstGeom prst="rect"/>
                      <a:ln/>
                    </pic:spPr>
                  </pic:pic>
                </a:graphicData>
              </a:graphic>
            </wp:anchor>
          </w:drawing>
        </mc:Fallback>
      </mc:AlternateContent>
    </w:r>
  </w:p>
  <w:p w14:paraId="791002EE" w14:textId="77777777" w:rsidR="00F7653A" w:rsidRDefault="00412B48">
    <w:pPr>
      <w:pStyle w:val="Ttulo4"/>
      <w:ind w:left="864" w:hanging="864"/>
      <w:jc w:val="left"/>
      <w:rPr>
        <w:rFonts w:ascii="Arial" w:eastAsia="Arial" w:hAnsi="Arial" w:cs="Arial"/>
        <w:b w:val="0"/>
        <w:sz w:val="20"/>
      </w:rPr>
    </w:pPr>
    <w:r>
      <w:rPr>
        <w:noProof/>
      </w:rPr>
      <mc:AlternateContent>
        <mc:Choice Requires="wpg">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101600</wp:posOffset>
              </wp:positionV>
              <wp:extent cx="949325" cy="278130"/>
              <wp:effectExtent b="0" l="0" r="0" t="0"/>
              <wp:wrapNone/>
              <wp:docPr id="1255"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949325" cy="27813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3810000</wp:posOffset>
              </wp:positionH>
              <wp:positionV relativeFrom="paragraph">
                <wp:posOffset>101600</wp:posOffset>
              </wp:positionV>
              <wp:extent cx="2228850" cy="262890"/>
              <wp:effectExtent b="0" l="0" r="0" t="0"/>
              <wp:wrapNone/>
              <wp:docPr id="1257"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2228850" cy="262890"/>
                      </a:xfrm>
                      <a:prstGeom prst="rect"/>
                      <a:ln/>
                    </pic:spPr>
                  </pic:pic>
                </a:graphicData>
              </a:graphic>
            </wp:anchor>
          </w:drawing>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666B7707" w:rsidR="00F7653A" w:rsidRDefault="00412B48">
    <w:pPr>
      <w:jc w:val="center"/>
      <w:rPr>
        <w:rFonts w:ascii="Arial" w:eastAsia="Arial" w:hAnsi="Arial" w:cs="Arial"/>
        <w:b/>
        <w:sz w:val="24"/>
        <w:szCs w:val="24"/>
      </w:rPr>
    </w:pPr>
    <w:r>
      <w:rPr>
        <w:rFonts w:ascii="Arial" w:eastAsia="Arial" w:hAnsi="Arial" w:cs="Arial"/>
        <w:b/>
        <w:sz w:val="24"/>
        <w:szCs w:val="24"/>
      </w:rPr>
      <w:t>POR MEDIO DE LA CUAL SE ADOPTA EL MAPA DE RIESGO DE LA CALIDAD DEL AGUA PARA EL CONSUMO H</w:t>
    </w:r>
    <w:r w:rsidRPr="001E5696">
      <w:rPr>
        <w:rFonts w:ascii="Arial" w:eastAsia="Arial" w:hAnsi="Arial" w:cs="Arial"/>
        <w:b/>
        <w:sz w:val="24"/>
        <w:szCs w:val="24"/>
      </w:rPr>
      <w:t xml:space="preserve">UMANO </w:t>
    </w:r>
    <w:r w:rsidR="001E5696" w:rsidRPr="001E5696">
      <w:rPr>
        <w:rFonts w:ascii="Arial" w:hAnsi="Arial" w:cs="Arial"/>
        <w:b/>
        <w:color w:val="000000"/>
        <w:sz w:val="24"/>
        <w:szCs w:val="24"/>
      </w:rPr>
      <w:t>JUNTA ADMINISTRADORA DEL ACUEDUCTO LA SUIZA</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0216BD"/>
    <w:rsid w:val="001E5696"/>
    <w:rsid w:val="00272BF9"/>
    <w:rsid w:val="004056EF"/>
    <w:rsid w:val="00412B48"/>
    <w:rsid w:val="004275B3"/>
    <w:rsid w:val="00476CCC"/>
    <w:rsid w:val="00542B7E"/>
    <w:rsid w:val="00723258"/>
    <w:rsid w:val="007F6D83"/>
    <w:rsid w:val="00810987"/>
    <w:rsid w:val="008D65B4"/>
    <w:rsid w:val="009756A4"/>
    <w:rsid w:val="00987D45"/>
    <w:rsid w:val="00A175D3"/>
    <w:rsid w:val="00A73017"/>
    <w:rsid w:val="00B11FD6"/>
    <w:rsid w:val="00B37EAE"/>
    <w:rsid w:val="00D45B2A"/>
    <w:rsid w:val="00DC500F"/>
    <w:rsid w:val="00E72926"/>
    <w:rsid w:val="00F7653A"/>
    <w:rsid w:val="00F918F0"/>
    <w:rsid w:val="00FD61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20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12782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2021-09-28T19:52:00Z</dcterms:created>
  <dcterms:modified xsi:type="dcterms:W3CDTF">2021-09-28T19:52:00Z</dcterms:modified>
</cp:coreProperties>
</file>