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77F5824B" w14:textId="57A4A3C9" w:rsidR="0051759B" w:rsidRDefault="0051759B">
      <w:pPr>
        <w:pBdr>
          <w:top w:val="nil"/>
          <w:left w:val="nil"/>
          <w:bottom w:val="nil"/>
          <w:right w:val="nil"/>
          <w:between w:val="nil"/>
        </w:pBdr>
        <w:spacing w:after="119"/>
        <w:jc w:val="both"/>
        <w:rPr>
          <w:rFonts w:ascii="Calibri" w:eastAsia="Calibri" w:hAnsi="Calibri" w:cs="Calibri"/>
          <w:color w:val="000000"/>
          <w:sz w:val="22"/>
          <w:szCs w:val="22"/>
        </w:rPr>
      </w:pPr>
      <w:r w:rsidRPr="0051759B">
        <w:rPr>
          <w:rFonts w:ascii="Calibri" w:eastAsia="Calibri" w:hAnsi="Calibri" w:cs="Calibri"/>
          <w:color w:val="000000"/>
          <w:sz w:val="22"/>
          <w:szCs w:val="22"/>
        </w:rPr>
        <w:t>Que la secretaría de Salud Pública y Seguridad Social de Pereira, después de realizar las acciones para la elaboración del mapa de riesgo del SISTEMA DE SUMINISTRO DE AGUA POTABLE de la jurisdicción de Pereira, durante la vigencia del año 2021, y al evaluar la información y análisis del agua, se generó el respectivo informe o anexo técnico I el cual se notificó por medio de comunicación oficial, l</w:t>
      </w:r>
      <w:r>
        <w:rPr>
          <w:rFonts w:ascii="Calibri" w:eastAsia="Calibri" w:hAnsi="Calibri" w:cs="Calibri"/>
          <w:color w:val="000000"/>
          <w:sz w:val="22"/>
          <w:szCs w:val="22"/>
        </w:rPr>
        <w:t>os</w:t>
      </w:r>
      <w:r w:rsidRPr="0051759B">
        <w:rPr>
          <w:rFonts w:ascii="Calibri" w:eastAsia="Calibri" w:hAnsi="Calibri" w:cs="Calibri"/>
          <w:color w:val="000000"/>
          <w:sz w:val="22"/>
          <w:szCs w:val="22"/>
        </w:rPr>
        <w:t xml:space="preserve"> cual</w:t>
      </w:r>
      <w:r>
        <w:rPr>
          <w:rFonts w:ascii="Calibri" w:eastAsia="Calibri" w:hAnsi="Calibri" w:cs="Calibri"/>
          <w:color w:val="000000"/>
          <w:sz w:val="22"/>
          <w:szCs w:val="22"/>
        </w:rPr>
        <w:t xml:space="preserve">es </w:t>
      </w:r>
      <w:r w:rsidRPr="0051759B">
        <w:rPr>
          <w:rFonts w:ascii="Calibri" w:eastAsia="Calibri" w:hAnsi="Calibri" w:cs="Calibri"/>
          <w:color w:val="000000"/>
          <w:sz w:val="22"/>
          <w:szCs w:val="22"/>
        </w:rPr>
        <w:t>hace</w:t>
      </w:r>
      <w:r>
        <w:rPr>
          <w:rFonts w:ascii="Calibri" w:eastAsia="Calibri" w:hAnsi="Calibri" w:cs="Calibri"/>
          <w:color w:val="000000"/>
          <w:sz w:val="22"/>
          <w:szCs w:val="22"/>
        </w:rPr>
        <w:t>n</w:t>
      </w:r>
      <w:r w:rsidRPr="0051759B">
        <w:rPr>
          <w:rFonts w:ascii="Calibri" w:eastAsia="Calibri" w:hAnsi="Calibri" w:cs="Calibri"/>
          <w:color w:val="000000"/>
          <w:sz w:val="22"/>
          <w:szCs w:val="22"/>
        </w:rPr>
        <w:t xml:space="preserve"> parte integral de este acto administrativo.</w:t>
      </w:r>
    </w:p>
    <w:p w14:paraId="62A5B054" w14:textId="151594AE"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324DD326"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w:t>
      </w:r>
      <w:r w:rsidR="002B13A9">
        <w:rPr>
          <w:rFonts w:ascii="Calibri" w:eastAsia="Calibri" w:hAnsi="Calibri" w:cs="Calibri"/>
          <w:sz w:val="22"/>
          <w:szCs w:val="22"/>
        </w:rPr>
        <w:t>puede</w:t>
      </w:r>
      <w:r>
        <w:rPr>
          <w:rFonts w:ascii="Calibri" w:eastAsia="Calibri" w:hAnsi="Calibri" w:cs="Calibri"/>
          <w:sz w:val="22"/>
          <w:szCs w:val="22"/>
        </w:rPr>
        <w:t xml:space="preserve">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47BDE81F" w14:textId="77777777" w:rsidR="00F7653A" w:rsidRDefault="00F7653A">
      <w:pPr>
        <w:jc w:val="center"/>
        <w:rPr>
          <w:rFonts w:ascii="Calibri" w:eastAsia="Calibri" w:hAnsi="Calibri" w:cs="Calibri"/>
          <w:color w:val="000000"/>
          <w:sz w:val="22"/>
          <w:szCs w:val="22"/>
        </w:rPr>
      </w:pPr>
    </w:p>
    <w:p w14:paraId="1DA227C5" w14:textId="653871DC"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70DC6563" w14:textId="77777777" w:rsidR="00F7653A" w:rsidRPr="00772280" w:rsidRDefault="00F7653A">
      <w:pPr>
        <w:jc w:val="center"/>
        <w:rPr>
          <w:rFonts w:ascii="Calibri" w:eastAsia="Calibri" w:hAnsi="Calibri" w:cs="Calibri"/>
          <w:b/>
          <w:color w:val="000000" w:themeColor="text1"/>
          <w:sz w:val="22"/>
          <w:szCs w:val="22"/>
        </w:rPr>
      </w:pPr>
    </w:p>
    <w:p w14:paraId="522A8957" w14:textId="3CE866EB" w:rsidR="00F7653A" w:rsidRPr="00B92683" w:rsidRDefault="00412B48">
      <w:pPr>
        <w:jc w:val="both"/>
        <w:rPr>
          <w:rFonts w:ascii="Calibri" w:eastAsia="Calibri" w:hAnsi="Calibri" w:cs="Calibri"/>
          <w:b/>
          <w:bCs/>
          <w:color w:val="000000" w:themeColor="text1"/>
          <w:sz w:val="22"/>
          <w:szCs w:val="22"/>
        </w:rPr>
      </w:pPr>
      <w:r w:rsidRPr="00EF7147">
        <w:rPr>
          <w:rFonts w:ascii="Calibri" w:eastAsia="Calibri" w:hAnsi="Calibri" w:cs="Calibri"/>
          <w:b/>
          <w:color w:val="000000" w:themeColor="text1"/>
          <w:sz w:val="22"/>
          <w:szCs w:val="22"/>
          <w:highlight w:val="yellow"/>
        </w:rPr>
        <w:t>ARTÍCULO PRIMERO</w:t>
      </w:r>
      <w:r w:rsidRPr="00EF7147">
        <w:rPr>
          <w:rFonts w:ascii="Calibri" w:eastAsia="Calibri" w:hAnsi="Calibri" w:cs="Calibri"/>
          <w:color w:val="000000" w:themeColor="text1"/>
          <w:sz w:val="22"/>
          <w:szCs w:val="22"/>
          <w:highlight w:val="yellow"/>
        </w:rPr>
        <w:t xml:space="preserve">: </w:t>
      </w:r>
      <w:r w:rsidRPr="00EF7147">
        <w:rPr>
          <w:rFonts w:ascii="Calibri" w:eastAsia="Calibri" w:hAnsi="Calibri" w:cs="Calibri"/>
          <w:b/>
          <w:color w:val="000000" w:themeColor="text1"/>
          <w:sz w:val="22"/>
          <w:szCs w:val="22"/>
          <w:highlight w:val="yellow"/>
        </w:rPr>
        <w:t>ADOPTAR EL MAPA DE RIESGO DE LA CALIDAD DEL AGUA PARA EL CONSUMO HUMANO</w:t>
      </w:r>
      <w:r w:rsidRPr="00EF7147">
        <w:rPr>
          <w:rFonts w:ascii="Calibri" w:eastAsia="Calibri" w:hAnsi="Calibri" w:cs="Calibri"/>
          <w:color w:val="000000" w:themeColor="text1"/>
          <w:sz w:val="22"/>
          <w:szCs w:val="22"/>
          <w:highlight w:val="yellow"/>
        </w:rPr>
        <w:t xml:space="preserve"> del sistema de abastecimiento de </w:t>
      </w:r>
      <w:r w:rsidR="00AF581F" w:rsidRPr="00EF7147">
        <w:rPr>
          <w:rFonts w:ascii="Calibri" w:hAnsi="Calibri" w:cs="Calibri"/>
          <w:b/>
          <w:bCs/>
          <w:color w:val="000000"/>
          <w:sz w:val="22"/>
          <w:szCs w:val="22"/>
          <w:highlight w:val="yellow"/>
          <w:shd w:val="clear" w:color="auto" w:fill="FFFFFF"/>
        </w:rPr>
        <w:t>ASOCIACIÓN DE USUARIOS ACUEDUCTO LA COLONIA</w:t>
      </w:r>
      <w:r w:rsidR="005C5CF2" w:rsidRPr="00EF7147">
        <w:rPr>
          <w:rFonts w:ascii="Calibri" w:hAnsi="Calibri" w:cs="Calibri"/>
          <w:sz w:val="22"/>
          <w:szCs w:val="22"/>
          <w:highlight w:val="yellow"/>
        </w:rPr>
        <w:t xml:space="preserve">, </w:t>
      </w:r>
      <w:r w:rsidRPr="00EF7147">
        <w:rPr>
          <w:rFonts w:ascii="Calibri" w:eastAsia="Calibri" w:hAnsi="Calibri" w:cs="Calibri"/>
          <w:color w:val="000000" w:themeColor="text1"/>
          <w:sz w:val="22"/>
          <w:szCs w:val="22"/>
          <w:highlight w:val="yellow"/>
        </w:rPr>
        <w:t xml:space="preserve">con </w:t>
      </w:r>
      <w:r w:rsidRPr="00EF7147">
        <w:rPr>
          <w:rFonts w:ascii="Calibri" w:eastAsia="Calibri" w:hAnsi="Calibri" w:cs="Calibri"/>
          <w:b/>
          <w:bCs/>
          <w:color w:val="000000" w:themeColor="text1"/>
          <w:sz w:val="22"/>
          <w:szCs w:val="22"/>
          <w:highlight w:val="yellow"/>
        </w:rPr>
        <w:t xml:space="preserve">Nit </w:t>
      </w:r>
      <w:r w:rsidR="00AF581F" w:rsidRPr="00EF7147">
        <w:rPr>
          <w:rFonts w:ascii="Calibri" w:eastAsia="Calibri" w:hAnsi="Calibri" w:cs="Calibri"/>
          <w:b/>
          <w:bCs/>
          <w:color w:val="000000" w:themeColor="text1"/>
          <w:sz w:val="22"/>
          <w:szCs w:val="22"/>
          <w:highlight w:val="yellow"/>
        </w:rPr>
        <w:t>816</w:t>
      </w:r>
      <w:r w:rsidR="00B92683" w:rsidRPr="00EF7147">
        <w:rPr>
          <w:rFonts w:ascii="Calibri" w:eastAsia="Calibri" w:hAnsi="Calibri" w:cs="Calibri"/>
          <w:b/>
          <w:bCs/>
          <w:color w:val="000000" w:themeColor="text1"/>
          <w:sz w:val="22"/>
          <w:szCs w:val="22"/>
          <w:highlight w:val="yellow"/>
        </w:rPr>
        <w:t>.</w:t>
      </w:r>
      <w:r w:rsidR="00AF581F" w:rsidRPr="00EF7147">
        <w:rPr>
          <w:rFonts w:ascii="Calibri" w:eastAsia="Calibri" w:hAnsi="Calibri" w:cs="Calibri"/>
          <w:b/>
          <w:bCs/>
          <w:color w:val="000000" w:themeColor="text1"/>
          <w:sz w:val="22"/>
          <w:szCs w:val="22"/>
          <w:highlight w:val="yellow"/>
        </w:rPr>
        <w:t>006</w:t>
      </w:r>
      <w:r w:rsidR="00B92683" w:rsidRPr="00EF7147">
        <w:rPr>
          <w:rFonts w:ascii="Calibri" w:eastAsia="Calibri" w:hAnsi="Calibri" w:cs="Calibri"/>
          <w:b/>
          <w:bCs/>
          <w:color w:val="000000" w:themeColor="text1"/>
          <w:sz w:val="22"/>
          <w:szCs w:val="22"/>
          <w:highlight w:val="yellow"/>
        </w:rPr>
        <w:t>.</w:t>
      </w:r>
      <w:r w:rsidR="00AF581F" w:rsidRPr="00EF7147">
        <w:rPr>
          <w:rFonts w:ascii="Calibri" w:eastAsia="Calibri" w:hAnsi="Calibri" w:cs="Calibri"/>
          <w:b/>
          <w:bCs/>
          <w:color w:val="000000" w:themeColor="text1"/>
          <w:sz w:val="22"/>
          <w:szCs w:val="22"/>
          <w:highlight w:val="yellow"/>
        </w:rPr>
        <w:t>860-5</w:t>
      </w:r>
      <w:r w:rsidR="00F23A10" w:rsidRPr="00EF7147">
        <w:rPr>
          <w:rFonts w:ascii="Calibri" w:eastAsia="Calibri" w:hAnsi="Calibri" w:cs="Calibri"/>
          <w:b/>
          <w:bCs/>
          <w:color w:val="000000" w:themeColor="text1"/>
          <w:sz w:val="22"/>
          <w:szCs w:val="22"/>
          <w:highlight w:val="yellow"/>
        </w:rPr>
        <w:t xml:space="preserve"> </w:t>
      </w:r>
      <w:r w:rsidRPr="00EF7147">
        <w:rPr>
          <w:rFonts w:ascii="Calibri" w:eastAsia="Calibri" w:hAnsi="Calibri" w:cs="Calibri"/>
          <w:color w:val="000000" w:themeColor="text1"/>
          <w:sz w:val="22"/>
          <w:szCs w:val="22"/>
          <w:highlight w:val="yellow"/>
        </w:rPr>
        <w:t xml:space="preserve">cuyo representante legal es el señor (a), </w:t>
      </w:r>
      <w:r w:rsidR="00AF581F" w:rsidRPr="00EF7147">
        <w:rPr>
          <w:rFonts w:ascii="Calibri" w:eastAsia="Calibri" w:hAnsi="Calibri" w:cs="Calibri"/>
          <w:b/>
          <w:bCs/>
          <w:color w:val="000000" w:themeColor="text1"/>
          <w:sz w:val="22"/>
          <w:szCs w:val="22"/>
          <w:highlight w:val="yellow"/>
        </w:rPr>
        <w:t>GLORIA PATRICIA HERNANDEZ</w:t>
      </w:r>
    </w:p>
    <w:p w14:paraId="44E3AA8B" w14:textId="77777777" w:rsidR="00F7653A" w:rsidRPr="00772280" w:rsidRDefault="00F7653A">
      <w:pPr>
        <w:jc w:val="both"/>
        <w:rPr>
          <w:rFonts w:ascii="Calibri" w:eastAsia="Calibri" w:hAnsi="Calibri" w:cs="Calibri"/>
          <w:b/>
          <w:color w:val="000000" w:themeColor="text1"/>
          <w:sz w:val="22"/>
          <w:szCs w:val="22"/>
        </w:rPr>
      </w:pPr>
    </w:p>
    <w:p w14:paraId="6D126B76" w14:textId="77777777" w:rsidR="00F7653A" w:rsidRDefault="00412B48">
      <w:pPr>
        <w:jc w:val="both"/>
        <w:rPr>
          <w:rFonts w:ascii="Calibri" w:eastAsia="Calibri" w:hAnsi="Calibri" w:cs="Calibri"/>
          <w:sz w:val="22"/>
          <w:szCs w:val="22"/>
        </w:rPr>
      </w:pPr>
      <w:r w:rsidRPr="00772280">
        <w:rPr>
          <w:rFonts w:ascii="Calibri" w:eastAsia="Calibri" w:hAnsi="Calibri" w:cs="Calibri"/>
          <w:b/>
          <w:color w:val="000000" w:themeColor="text1"/>
          <w:sz w:val="22"/>
          <w:szCs w:val="22"/>
        </w:rPr>
        <w:t>PARÁGRAFO</w:t>
      </w:r>
      <w:r w:rsidRPr="00772280">
        <w:rPr>
          <w:rFonts w:ascii="Calibri" w:eastAsia="Calibri" w:hAnsi="Calibri" w:cs="Calibri"/>
          <w:color w:val="000000" w:themeColor="text1"/>
          <w:sz w:val="22"/>
          <w:szCs w:val="22"/>
        </w:rPr>
        <w:t>: Hacen</w:t>
      </w:r>
      <w:r w:rsidRPr="005C5CF2">
        <w:rPr>
          <w:rFonts w:ascii="Calibri" w:eastAsia="Calibri" w:hAnsi="Calibri" w:cs="Calibri"/>
          <w:color w:val="000000" w:themeColor="text1"/>
          <w:sz w:val="22"/>
          <w:szCs w:val="22"/>
        </w:rPr>
        <w:t xml:space="preserve"> parte integral de la presente resolución </w:t>
      </w:r>
      <w:r w:rsidRPr="005C5CF2">
        <w:rPr>
          <w:rFonts w:ascii="Calibri" w:eastAsia="Calibri" w:hAnsi="Calibri" w:cs="Calibri"/>
          <w:sz w:val="22"/>
          <w:szCs w:val="22"/>
        </w:rPr>
        <w:t>el Anexo</w:t>
      </w:r>
      <w:r>
        <w:rPr>
          <w:rFonts w:ascii="Calibri" w:eastAsia="Calibri" w:hAnsi="Calibri" w:cs="Calibri"/>
          <w:sz w:val="22"/>
          <w:szCs w:val="22"/>
        </w:rPr>
        <w:t xml:space="preserve">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76B18D51" w14:textId="77777777" w:rsidR="00F7653A" w:rsidRDefault="00F7653A">
      <w:pPr>
        <w:jc w:val="both"/>
        <w:rPr>
          <w:rFonts w:ascii="Calibri" w:eastAsia="Calibri" w:hAnsi="Calibri" w:cs="Calibri"/>
          <w:b/>
          <w:sz w:val="22"/>
          <w:szCs w:val="22"/>
        </w:rPr>
      </w:pPr>
    </w:p>
    <w:p w14:paraId="74808659" w14:textId="47836718" w:rsidR="007842EA" w:rsidRDefault="0051759B">
      <w:pPr>
        <w:jc w:val="both"/>
        <w:rPr>
          <w:rFonts w:ascii="Calibri" w:eastAsia="Calibri" w:hAnsi="Calibri" w:cs="Calibri"/>
          <w:sz w:val="22"/>
          <w:szCs w:val="22"/>
        </w:rPr>
      </w:pPr>
      <w:r w:rsidRPr="0051759B">
        <w:rPr>
          <w:rFonts w:ascii="Calibri" w:eastAsia="Calibri" w:hAnsi="Calibri" w:cs="Calibri"/>
          <w:b/>
          <w:sz w:val="22"/>
          <w:szCs w:val="22"/>
        </w:rPr>
        <w:t>ARTICULO SEGUNDO:</w:t>
      </w:r>
      <w:r w:rsidRPr="0051759B">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de los parámetros relacionado en el anexo técnico II como documento integral de la presente resolución, dichas muestras de control de la calidad del agua para consumo humano deben cumplir con las características físicas, químicas y microbiológicas según el número y las frecuencias mínimas establecidas en dicho anexo y se deben allegar los resultados antes del primer trimestre del año 2022 a esta Autoridad Sanitaria para su evolución, consolidación y actualización de Mapa de Riesgos de Agua para el Consumo Humano.</w:t>
      </w:r>
    </w:p>
    <w:p w14:paraId="1716EABF" w14:textId="77777777" w:rsidR="0051759B" w:rsidRDefault="0051759B">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lastRenderedPageBreak/>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7761403" w14:textId="77777777" w:rsidR="00F23A10" w:rsidRDefault="00F23A10" w:rsidP="00F23A10">
      <w:pPr>
        <w:spacing w:after="200"/>
        <w:jc w:val="both"/>
        <w:rPr>
          <w:rFonts w:ascii="Calibri" w:eastAsia="Calibri" w:hAnsi="Calibri" w:cs="Calibri"/>
          <w:b/>
          <w:sz w:val="22"/>
          <w:szCs w:val="22"/>
        </w:rPr>
      </w:pPr>
    </w:p>
    <w:p w14:paraId="57EA5D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5512E4D9"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50E24CBF" w14:textId="77777777" w:rsidR="00F23A10" w:rsidRDefault="00F23A10" w:rsidP="00F23A10">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4A7152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p>
    <w:p w14:paraId="68E343DF"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71AF9F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7987A5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63E621C1" w14:textId="77777777" w:rsidR="00F23A10" w:rsidRDefault="00F23A10" w:rsidP="00F23A10">
      <w:pPr>
        <w:jc w:val="both"/>
        <w:rPr>
          <w:rFonts w:ascii="Calibri" w:eastAsia="Calibri" w:hAnsi="Calibri" w:cs="Calibri"/>
          <w:b/>
          <w:sz w:val="16"/>
          <w:szCs w:val="16"/>
        </w:rPr>
      </w:pPr>
    </w:p>
    <w:p w14:paraId="0EA9D0BE"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23B9C4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28B4DE56"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3DC24FAD"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de Salud Pública y Seguridad Social de Pereira</w:t>
      </w:r>
    </w:p>
    <w:p w14:paraId="0266F2D6" w14:textId="3B109D7A" w:rsidR="00F7653A" w:rsidRDefault="00F7653A" w:rsidP="00F23A10">
      <w:pPr>
        <w:jc w:val="both"/>
        <w:rPr>
          <w:rFonts w:ascii="Calibri" w:eastAsia="Calibri" w:hAnsi="Calibri" w:cs="Calibri"/>
          <w:sz w:val="22"/>
          <w:szCs w:val="22"/>
        </w:rPr>
      </w:pPr>
    </w:p>
    <w:sectPr w:rsidR="00F7653A">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lang w:eastAsia="es-CO"/>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v:textbox>
            </v:rect>
          </w:pict>
        </mc:Fallback>
      </mc:AlternateContent>
    </w:r>
    <w:r>
      <w:rPr>
        <w:noProof/>
        <w:lang w:eastAsia="es-CO"/>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rsidP="00B70936">
    <w:pPr>
      <w:pStyle w:val="Ttulo4"/>
      <w:numPr>
        <w:ilvl w:val="0"/>
        <w:numId w:val="0"/>
      </w:numPr>
      <w:ind w:left="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w:pict>
            <v:shapetype w14:anchorId="4D248930" id="_x0000_t32" coordsize="21600,21600" o:spt="32" o:oned="t" path="m,l21600,21600e" filled="f">
              <v:path arrowok="t" fillok="f" o:connecttype="none"/>
              <o:lock v:ext="edit" shapetype="t"/>
            </v:shapetype>
            <v:shape id="Conector recto de flecha 1256" o:spid="_x0000_s1026" type="#_x0000_t32" style="position:absolute;margin-left:-23pt;margin-top:15pt;width:504.7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" strokecolor="#c00000" strokeweight="3pt">
              <v:stroke startarrowwidth="narrow" startarrowlength="short" endarrowwidth="narrow" endarrowlength="short"/>
              <v:shadow on="t" color="black" opacity="22872f" origin=",.5" offset="0,.63889mm"/>
            </v:shape>
          </w:pict>
        </mc:Fallback>
      </mc:AlternateContent>
    </w:r>
  </w:p>
  <w:p w14:paraId="791002EE"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lang w:eastAsia="es-CO"/>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02B75B87" w:rsidR="00F7653A" w:rsidRDefault="00412B48">
    <w:pPr>
      <w:jc w:val="center"/>
      <w:rPr>
        <w:rFonts w:ascii="Arial" w:eastAsia="Arial" w:hAnsi="Arial" w:cs="Arial"/>
        <w:b/>
        <w:sz w:val="24"/>
        <w:szCs w:val="24"/>
      </w:rPr>
    </w:pPr>
    <w:r w:rsidRPr="00B92683">
      <w:rPr>
        <w:rFonts w:ascii="Arial" w:eastAsia="Arial" w:hAnsi="Arial" w:cs="Arial"/>
        <w:b/>
        <w:sz w:val="24"/>
        <w:szCs w:val="24"/>
        <w:highlight w:val="yellow"/>
      </w:rPr>
      <w:t>POR MEDIO DE LA CUAL SE ADOPTA EL MAPA DE RIESGO DE LA CALIDAD DEL AGUA PARA EL CONSUMO HUMANO</w:t>
    </w:r>
    <w:r w:rsidR="00BB1E12" w:rsidRPr="00B92683">
      <w:rPr>
        <w:rFonts w:ascii="Arial" w:eastAsia="Arial" w:hAnsi="Arial" w:cs="Arial"/>
        <w:b/>
        <w:bCs/>
        <w:sz w:val="24"/>
        <w:szCs w:val="24"/>
        <w:highlight w:val="yellow"/>
      </w:rPr>
      <w:t xml:space="preserve"> </w:t>
    </w:r>
    <w:r w:rsidR="00BB1E12" w:rsidRPr="00B92683">
      <w:rPr>
        <w:rFonts w:ascii="Arial" w:hAnsi="Arial" w:cs="Arial"/>
        <w:b/>
        <w:bCs/>
        <w:color w:val="000000"/>
        <w:sz w:val="24"/>
        <w:szCs w:val="24"/>
        <w:highlight w:val="yellow"/>
        <w:shd w:val="clear" w:color="auto" w:fill="FFFFFF"/>
      </w:rPr>
      <w:t>ASOCIACIÓN DE USUARIOS ACUEDUCTO LA COLONIA</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0B5F7A"/>
    <w:rsid w:val="002B13A9"/>
    <w:rsid w:val="002F1C24"/>
    <w:rsid w:val="00412B48"/>
    <w:rsid w:val="00466A96"/>
    <w:rsid w:val="0051759B"/>
    <w:rsid w:val="005321BD"/>
    <w:rsid w:val="005C5CF2"/>
    <w:rsid w:val="00772280"/>
    <w:rsid w:val="007842EA"/>
    <w:rsid w:val="0079166D"/>
    <w:rsid w:val="007C1021"/>
    <w:rsid w:val="00820321"/>
    <w:rsid w:val="00910B7A"/>
    <w:rsid w:val="00A73017"/>
    <w:rsid w:val="00AF581F"/>
    <w:rsid w:val="00B70936"/>
    <w:rsid w:val="00B92683"/>
    <w:rsid w:val="00BB1E12"/>
    <w:rsid w:val="00BC3A98"/>
    <w:rsid w:val="00DB399A"/>
    <w:rsid w:val="00EF7147"/>
    <w:rsid w:val="00F23A10"/>
    <w:rsid w:val="00F76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2039</Words>
  <Characters>11219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2021-10-05T01:21:00Z</dcterms:created>
  <dcterms:modified xsi:type="dcterms:W3CDTF">2021-10-05T01:21:00Z</dcterms:modified>
</cp:coreProperties>
</file>