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w:t>
      </w:r>
      <w:r>
        <w:rPr>
          <w:rFonts w:ascii="Calibri" w:eastAsia="Calibri" w:hAnsi="Calibri" w:cs="Calibri"/>
          <w:sz w:val="22"/>
          <w:szCs w:val="22"/>
        </w:rPr>
        <w:lastRenderedPageBreak/>
        <w:t>en distribución a los acueductos rurales que hacen parte de la jurisdicción de Pereira Risaralda,  información que se encuentra y que hace parte integral de esta resolución, donde se identifican el 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77F5824B" w14:textId="57A4A3C9" w:rsidR="0051759B" w:rsidRDefault="0051759B">
      <w:pPr>
        <w:pBdr>
          <w:top w:val="nil"/>
          <w:left w:val="nil"/>
          <w:bottom w:val="nil"/>
          <w:right w:val="nil"/>
          <w:between w:val="nil"/>
        </w:pBdr>
        <w:spacing w:after="119"/>
        <w:jc w:val="both"/>
        <w:rPr>
          <w:rFonts w:ascii="Calibri" w:eastAsia="Calibri" w:hAnsi="Calibri" w:cs="Calibri"/>
          <w:color w:val="000000"/>
          <w:sz w:val="22"/>
          <w:szCs w:val="22"/>
        </w:rPr>
      </w:pPr>
      <w:r w:rsidRPr="0051759B">
        <w:rPr>
          <w:rFonts w:ascii="Calibri" w:eastAsia="Calibri" w:hAnsi="Calibri" w:cs="Calibri"/>
          <w:color w:val="000000"/>
          <w:sz w:val="22"/>
          <w:szCs w:val="22"/>
        </w:rPr>
        <w:t>Que la secretaría de Salud Pública y Seguridad Social de Pereira, después de realizar las acciones para la elaboración del mapa de riesgo del SISTEMA DE SUMINISTRO DE AGUA POTABLE de la jurisdicción de Pereira, durante la vigencia del año 2021, y al evaluar la información y análisis del agua, se generó el respectivo informe o anexo técnico I el cual se notificó por medio de comunicación oficial, l</w:t>
      </w:r>
      <w:r>
        <w:rPr>
          <w:rFonts w:ascii="Calibri" w:eastAsia="Calibri" w:hAnsi="Calibri" w:cs="Calibri"/>
          <w:color w:val="000000"/>
          <w:sz w:val="22"/>
          <w:szCs w:val="22"/>
        </w:rPr>
        <w:t>os</w:t>
      </w:r>
      <w:r w:rsidRPr="0051759B">
        <w:rPr>
          <w:rFonts w:ascii="Calibri" w:eastAsia="Calibri" w:hAnsi="Calibri" w:cs="Calibri"/>
          <w:color w:val="000000"/>
          <w:sz w:val="22"/>
          <w:szCs w:val="22"/>
        </w:rPr>
        <w:t xml:space="preserve"> cual</w:t>
      </w:r>
      <w:r>
        <w:rPr>
          <w:rFonts w:ascii="Calibri" w:eastAsia="Calibri" w:hAnsi="Calibri" w:cs="Calibri"/>
          <w:color w:val="000000"/>
          <w:sz w:val="22"/>
          <w:szCs w:val="22"/>
        </w:rPr>
        <w:t xml:space="preserve">es </w:t>
      </w:r>
      <w:r w:rsidRPr="0051759B">
        <w:rPr>
          <w:rFonts w:ascii="Calibri" w:eastAsia="Calibri" w:hAnsi="Calibri" w:cs="Calibri"/>
          <w:color w:val="000000"/>
          <w:sz w:val="22"/>
          <w:szCs w:val="22"/>
        </w:rPr>
        <w:t>hace</w:t>
      </w:r>
      <w:r>
        <w:rPr>
          <w:rFonts w:ascii="Calibri" w:eastAsia="Calibri" w:hAnsi="Calibri" w:cs="Calibri"/>
          <w:color w:val="000000"/>
          <w:sz w:val="22"/>
          <w:szCs w:val="22"/>
        </w:rPr>
        <w:t>n</w:t>
      </w:r>
      <w:r w:rsidRPr="0051759B">
        <w:rPr>
          <w:rFonts w:ascii="Calibri" w:eastAsia="Calibri" w:hAnsi="Calibri" w:cs="Calibri"/>
          <w:color w:val="000000"/>
          <w:sz w:val="22"/>
          <w:szCs w:val="22"/>
        </w:rPr>
        <w:t xml:space="preserve"> parte integral de este acto administrativo.</w:t>
      </w:r>
    </w:p>
    <w:p w14:paraId="62A5B054" w14:textId="151594AE"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324DD326"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w:t>
      </w:r>
      <w:r w:rsidR="002B13A9">
        <w:rPr>
          <w:rFonts w:ascii="Calibri" w:eastAsia="Calibri" w:hAnsi="Calibri" w:cs="Calibri"/>
          <w:sz w:val="22"/>
          <w:szCs w:val="22"/>
        </w:rPr>
        <w:t>puede</w:t>
      </w:r>
      <w:r>
        <w:rPr>
          <w:rFonts w:ascii="Calibri" w:eastAsia="Calibri" w:hAnsi="Calibri" w:cs="Calibri"/>
          <w:sz w:val="22"/>
          <w:szCs w:val="22"/>
        </w:rPr>
        <w:t xml:space="preserve">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653871DC"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Pr="00F23A10" w:rsidRDefault="00F7653A">
      <w:pPr>
        <w:jc w:val="center"/>
        <w:rPr>
          <w:rFonts w:ascii="Calibri" w:eastAsia="Calibri" w:hAnsi="Calibri" w:cs="Calibri"/>
          <w:b/>
          <w:color w:val="000000" w:themeColor="text1"/>
          <w:sz w:val="22"/>
          <w:szCs w:val="22"/>
        </w:rPr>
      </w:pPr>
    </w:p>
    <w:p w14:paraId="522A8957" w14:textId="0F039C6B" w:rsidR="00F7653A" w:rsidRPr="00BC0BCE" w:rsidRDefault="00412B48" w:rsidP="00BC0BCE">
      <w:pPr>
        <w:jc w:val="both"/>
        <w:textDirection w:val="btLr"/>
        <w:rPr>
          <w:rFonts w:ascii="Calibri" w:eastAsia="Calibri" w:hAnsi="Calibri" w:cs="Calibri"/>
          <w:sz w:val="22"/>
          <w:szCs w:val="22"/>
        </w:rPr>
      </w:pPr>
      <w:r w:rsidRPr="007D20C6">
        <w:rPr>
          <w:rFonts w:ascii="Calibri" w:eastAsia="Calibri" w:hAnsi="Calibri" w:cs="Calibri"/>
          <w:b/>
          <w:color w:val="000000" w:themeColor="text1"/>
          <w:sz w:val="22"/>
          <w:szCs w:val="22"/>
          <w:highlight w:val="yellow"/>
        </w:rPr>
        <w:t>ARTÍCULO PRIMERO</w:t>
      </w:r>
      <w:r w:rsidRPr="007D20C6">
        <w:rPr>
          <w:rFonts w:ascii="Calibri" w:eastAsia="Calibri" w:hAnsi="Calibri" w:cs="Calibri"/>
          <w:color w:val="000000" w:themeColor="text1"/>
          <w:sz w:val="22"/>
          <w:szCs w:val="22"/>
          <w:highlight w:val="yellow"/>
        </w:rPr>
        <w:t xml:space="preserve">: </w:t>
      </w:r>
      <w:r w:rsidRPr="007D20C6">
        <w:rPr>
          <w:rFonts w:ascii="Calibri" w:eastAsia="Calibri" w:hAnsi="Calibri" w:cs="Calibri"/>
          <w:b/>
          <w:color w:val="000000" w:themeColor="text1"/>
          <w:sz w:val="22"/>
          <w:szCs w:val="22"/>
          <w:highlight w:val="yellow"/>
        </w:rPr>
        <w:t>ADOPTAR EL MAPA DE RIESGO DE LA CALIDAD DEL AGUA PARA EL</w:t>
      </w:r>
      <w:r w:rsidR="00215289" w:rsidRPr="007D20C6">
        <w:rPr>
          <w:rFonts w:ascii="Calibri" w:eastAsia="Calibri" w:hAnsi="Calibri" w:cs="Calibri"/>
          <w:b/>
          <w:color w:val="000000" w:themeColor="text1"/>
          <w:sz w:val="22"/>
          <w:szCs w:val="22"/>
          <w:highlight w:val="yellow"/>
        </w:rPr>
        <w:t xml:space="preserve"> </w:t>
      </w:r>
      <w:r w:rsidRPr="007D20C6">
        <w:rPr>
          <w:rFonts w:ascii="Calibri" w:eastAsia="Calibri" w:hAnsi="Calibri" w:cs="Calibri"/>
          <w:b/>
          <w:color w:val="000000" w:themeColor="text1"/>
          <w:sz w:val="22"/>
          <w:szCs w:val="22"/>
          <w:highlight w:val="yellow"/>
        </w:rPr>
        <w:t>CONSUMO HUMANO</w:t>
      </w:r>
      <w:r w:rsidRPr="007D20C6">
        <w:rPr>
          <w:rFonts w:ascii="Calibri" w:eastAsia="Calibri" w:hAnsi="Calibri" w:cs="Calibri"/>
          <w:color w:val="000000" w:themeColor="text1"/>
          <w:sz w:val="22"/>
          <w:szCs w:val="22"/>
          <w:highlight w:val="yellow"/>
        </w:rPr>
        <w:t xml:space="preserve"> del sistema de abastecimiento de</w:t>
      </w:r>
      <w:r w:rsidR="00215289" w:rsidRPr="007D20C6">
        <w:rPr>
          <w:rFonts w:ascii="Calibri" w:eastAsia="Calibri" w:hAnsi="Calibri" w:cs="Calibri"/>
          <w:color w:val="000000" w:themeColor="text1"/>
          <w:sz w:val="22"/>
          <w:szCs w:val="22"/>
          <w:highlight w:val="yellow"/>
        </w:rPr>
        <w:t xml:space="preserve"> </w:t>
      </w:r>
      <w:r w:rsidR="00215289" w:rsidRPr="007D20C6">
        <w:rPr>
          <w:rFonts w:ascii="Calibri" w:hAnsi="Calibri" w:cs="Calibri"/>
          <w:b/>
          <w:sz w:val="22"/>
          <w:szCs w:val="22"/>
          <w:highlight w:val="yellow"/>
        </w:rPr>
        <w:t>ASOCIACIÓN COMUNITARIA DE SUSCRIPTORES DEL ACUEDUCTO CESTILLAL DIAMANTE E.S.P – SISTEMA</w:t>
      </w:r>
      <w:r w:rsidR="008372A9" w:rsidRPr="007D20C6">
        <w:rPr>
          <w:rFonts w:ascii="Calibri" w:hAnsi="Calibri" w:cs="Calibri"/>
          <w:b/>
          <w:sz w:val="22"/>
          <w:szCs w:val="22"/>
          <w:highlight w:val="yellow"/>
        </w:rPr>
        <w:t xml:space="preserve"> PEREZ</w:t>
      </w:r>
      <w:r w:rsidR="005C5CF2" w:rsidRPr="007D20C6">
        <w:rPr>
          <w:rFonts w:ascii="Calibri" w:hAnsi="Calibri" w:cs="Calibri"/>
          <w:sz w:val="22"/>
          <w:szCs w:val="22"/>
          <w:highlight w:val="yellow"/>
        </w:rPr>
        <w:t xml:space="preserve">, </w:t>
      </w:r>
      <w:r w:rsidRPr="007D20C6">
        <w:rPr>
          <w:rFonts w:ascii="Calibri" w:eastAsia="Calibri" w:hAnsi="Calibri" w:cs="Calibri"/>
          <w:sz w:val="22"/>
          <w:szCs w:val="22"/>
          <w:highlight w:val="yellow"/>
        </w:rPr>
        <w:t xml:space="preserve">con </w:t>
      </w:r>
      <w:r w:rsidRPr="007D20C6">
        <w:rPr>
          <w:rFonts w:ascii="Calibri" w:eastAsia="Calibri" w:hAnsi="Calibri" w:cs="Calibri"/>
          <w:b/>
          <w:bCs/>
          <w:sz w:val="22"/>
          <w:szCs w:val="22"/>
          <w:highlight w:val="yellow"/>
        </w:rPr>
        <w:t xml:space="preserve">Nit </w:t>
      </w:r>
      <w:r w:rsidR="00BC0BCE" w:rsidRPr="007D20C6">
        <w:rPr>
          <w:rFonts w:ascii="Calibri" w:eastAsia="Calibri" w:hAnsi="Calibri" w:cs="Calibri"/>
          <w:b/>
          <w:bCs/>
          <w:sz w:val="22"/>
          <w:szCs w:val="22"/>
          <w:highlight w:val="yellow"/>
        </w:rPr>
        <w:t>816</w:t>
      </w:r>
      <w:r w:rsidR="007D20C6" w:rsidRPr="007D20C6">
        <w:rPr>
          <w:rFonts w:ascii="Calibri" w:eastAsia="Calibri" w:hAnsi="Calibri" w:cs="Calibri"/>
          <w:b/>
          <w:bCs/>
          <w:sz w:val="22"/>
          <w:szCs w:val="22"/>
          <w:highlight w:val="yellow"/>
        </w:rPr>
        <w:t>.</w:t>
      </w:r>
      <w:r w:rsidR="00BC0BCE" w:rsidRPr="007D20C6">
        <w:rPr>
          <w:rFonts w:ascii="Calibri" w:eastAsia="Calibri" w:hAnsi="Calibri" w:cs="Calibri"/>
          <w:b/>
          <w:bCs/>
          <w:sz w:val="22"/>
          <w:szCs w:val="22"/>
          <w:highlight w:val="yellow"/>
        </w:rPr>
        <w:t>003</w:t>
      </w:r>
      <w:r w:rsidR="007D20C6" w:rsidRPr="007D20C6">
        <w:rPr>
          <w:rFonts w:ascii="Calibri" w:eastAsia="Calibri" w:hAnsi="Calibri" w:cs="Calibri"/>
          <w:b/>
          <w:bCs/>
          <w:sz w:val="22"/>
          <w:szCs w:val="22"/>
          <w:highlight w:val="yellow"/>
        </w:rPr>
        <w:t>.</w:t>
      </w:r>
      <w:r w:rsidR="00BC0BCE" w:rsidRPr="007D20C6">
        <w:rPr>
          <w:rFonts w:ascii="Calibri" w:eastAsia="Calibri" w:hAnsi="Calibri" w:cs="Calibri"/>
          <w:b/>
          <w:bCs/>
          <w:sz w:val="22"/>
          <w:szCs w:val="22"/>
          <w:highlight w:val="yellow"/>
        </w:rPr>
        <w:t>887-1</w:t>
      </w:r>
      <w:r w:rsidR="00F23A10" w:rsidRPr="007D20C6">
        <w:rPr>
          <w:rFonts w:ascii="Calibri" w:eastAsia="Calibri" w:hAnsi="Calibri" w:cs="Calibri"/>
          <w:b/>
          <w:bCs/>
          <w:sz w:val="22"/>
          <w:szCs w:val="22"/>
          <w:highlight w:val="yellow"/>
        </w:rPr>
        <w:t xml:space="preserve"> </w:t>
      </w:r>
      <w:r w:rsidRPr="007D20C6">
        <w:rPr>
          <w:rFonts w:ascii="Calibri" w:eastAsia="Calibri" w:hAnsi="Calibri" w:cs="Calibri"/>
          <w:sz w:val="22"/>
          <w:szCs w:val="22"/>
          <w:highlight w:val="yellow"/>
        </w:rPr>
        <w:t xml:space="preserve">cuyo representante legal es el señor (a), </w:t>
      </w:r>
      <w:r w:rsidR="00BC0BCE" w:rsidRPr="007D20C6">
        <w:rPr>
          <w:rFonts w:ascii="Calibri" w:eastAsia="Calibri" w:hAnsi="Calibri" w:cs="Calibri"/>
          <w:b/>
          <w:bCs/>
          <w:sz w:val="22"/>
          <w:szCs w:val="22"/>
          <w:highlight w:val="yellow"/>
        </w:rPr>
        <w:t>SAMUEL DE JESÚS CORREA TOBÓN</w:t>
      </w:r>
    </w:p>
    <w:p w14:paraId="44E3AA8B" w14:textId="77777777" w:rsidR="00F7653A" w:rsidRPr="00BC0BCE" w:rsidRDefault="00F7653A" w:rsidP="00BC0BCE">
      <w:pPr>
        <w:jc w:val="both"/>
        <w:rPr>
          <w:rFonts w:ascii="Calibri" w:eastAsia="Calibri" w:hAnsi="Calibri" w:cs="Calibri"/>
          <w:b/>
          <w:color w:val="000000" w:themeColor="text1"/>
          <w:sz w:val="22"/>
          <w:szCs w:val="22"/>
        </w:rPr>
      </w:pPr>
    </w:p>
    <w:p w14:paraId="6D126B76" w14:textId="77777777" w:rsidR="00F7653A" w:rsidRDefault="00412B48" w:rsidP="00BC0BCE">
      <w:pPr>
        <w:jc w:val="both"/>
        <w:rPr>
          <w:rFonts w:ascii="Calibri" w:eastAsia="Calibri" w:hAnsi="Calibri" w:cs="Calibri"/>
          <w:sz w:val="22"/>
          <w:szCs w:val="22"/>
        </w:rPr>
      </w:pPr>
      <w:r w:rsidRPr="00BC0BCE">
        <w:rPr>
          <w:rFonts w:ascii="Calibri" w:eastAsia="Calibri" w:hAnsi="Calibri" w:cs="Calibri"/>
          <w:b/>
          <w:color w:val="000000" w:themeColor="text1"/>
          <w:sz w:val="22"/>
          <w:szCs w:val="22"/>
        </w:rPr>
        <w:t>PARÁGRAFO</w:t>
      </w:r>
      <w:r w:rsidRPr="00BC0BCE">
        <w:rPr>
          <w:rFonts w:ascii="Calibri" w:eastAsia="Calibri" w:hAnsi="Calibri" w:cs="Calibri"/>
          <w:color w:val="000000" w:themeColor="text1"/>
          <w:sz w:val="22"/>
          <w:szCs w:val="22"/>
        </w:rPr>
        <w:t>: Hacen parte integral de la presente</w:t>
      </w:r>
      <w:r w:rsidRPr="005C5CF2">
        <w:rPr>
          <w:rFonts w:ascii="Calibri" w:eastAsia="Calibri" w:hAnsi="Calibri" w:cs="Calibri"/>
          <w:color w:val="000000" w:themeColor="text1"/>
          <w:sz w:val="22"/>
          <w:szCs w:val="22"/>
        </w:rPr>
        <w:t xml:space="preserve"> resolución </w:t>
      </w:r>
      <w:r w:rsidRPr="005C5CF2">
        <w:rPr>
          <w:rFonts w:ascii="Calibri" w:eastAsia="Calibri" w:hAnsi="Calibri" w:cs="Calibri"/>
          <w:sz w:val="22"/>
          <w:szCs w:val="22"/>
        </w:rPr>
        <w:t>el Anexo</w:t>
      </w:r>
      <w:r>
        <w:rPr>
          <w:rFonts w:ascii="Calibri" w:eastAsia="Calibri" w:hAnsi="Calibri" w:cs="Calibri"/>
          <w:sz w:val="22"/>
          <w:szCs w:val="22"/>
        </w:rPr>
        <w:t xml:space="preserve">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74808659" w14:textId="47836718" w:rsidR="007842EA" w:rsidRDefault="0051759B">
      <w:pPr>
        <w:jc w:val="both"/>
        <w:rPr>
          <w:rFonts w:ascii="Calibri" w:eastAsia="Calibri" w:hAnsi="Calibri" w:cs="Calibri"/>
          <w:sz w:val="22"/>
          <w:szCs w:val="22"/>
        </w:rPr>
      </w:pPr>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w:t>
      </w:r>
      <w:r w:rsidRPr="0051759B">
        <w:rPr>
          <w:rFonts w:ascii="Calibri" w:eastAsia="Calibri" w:hAnsi="Calibri" w:cs="Calibri"/>
          <w:sz w:val="22"/>
          <w:szCs w:val="22"/>
        </w:rPr>
        <w:lastRenderedPageBreak/>
        <w:t>allegar los resultados antes del primer trimestre del año 2022 a esta Autoridad Sanitaria para su evolución, consolidación y actualización de Mapa de Riesgos de Agua para el Consumo Humano.</w:t>
      </w:r>
    </w:p>
    <w:p w14:paraId="1716EABF" w14:textId="77777777" w:rsidR="0051759B" w:rsidRDefault="0051759B">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7761403" w14:textId="77777777" w:rsidR="00F23A10" w:rsidRDefault="00F23A10" w:rsidP="00F23A10">
      <w:pPr>
        <w:spacing w:after="200"/>
        <w:jc w:val="both"/>
        <w:rPr>
          <w:rFonts w:ascii="Calibri" w:eastAsia="Calibri" w:hAnsi="Calibri" w:cs="Calibri"/>
          <w:b/>
          <w:sz w:val="22"/>
          <w:szCs w:val="22"/>
        </w:rPr>
      </w:pPr>
    </w:p>
    <w:p w14:paraId="57EA5D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5512E4D9"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0E24CBF" w14:textId="77777777" w:rsidR="00F23A10" w:rsidRDefault="00F23A10" w:rsidP="00F23A1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4A7152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p>
    <w:p w14:paraId="68E343DF"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lastRenderedPageBreak/>
        <w:t>Revisión Técnica:</w:t>
      </w:r>
      <w:r>
        <w:rPr>
          <w:rFonts w:ascii="Calibri" w:eastAsia="Calibri" w:hAnsi="Calibri" w:cs="Calibri"/>
          <w:b/>
          <w:sz w:val="16"/>
          <w:szCs w:val="16"/>
        </w:rPr>
        <w:tab/>
        <w:t>LAURA CAROLINA HENAO CEBALLOS</w:t>
      </w:r>
    </w:p>
    <w:p w14:paraId="71AF9F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7987A5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63E621C1" w14:textId="77777777" w:rsidR="00F23A10" w:rsidRDefault="00F23A10" w:rsidP="00F23A10">
      <w:pPr>
        <w:jc w:val="both"/>
        <w:rPr>
          <w:rFonts w:ascii="Calibri" w:eastAsia="Calibri" w:hAnsi="Calibri" w:cs="Calibri"/>
          <w:b/>
          <w:sz w:val="16"/>
          <w:szCs w:val="16"/>
        </w:rPr>
      </w:pPr>
    </w:p>
    <w:p w14:paraId="0EA9D0BE"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23B9C4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28B4DE56"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3DC24FAD"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p w14:paraId="0266F2D6" w14:textId="3B109D7A" w:rsidR="00F7653A" w:rsidRDefault="00F7653A" w:rsidP="00F23A10">
      <w:pPr>
        <w:jc w:val="both"/>
        <w:rPr>
          <w:rFonts w:ascii="Calibri" w:eastAsia="Calibri" w:hAnsi="Calibri" w:cs="Calibri"/>
          <w:sz w:val="22"/>
          <w:szCs w:val="22"/>
        </w:rPr>
      </w:pPr>
    </w:p>
    <w:sectPr w:rsidR="00F7653A">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lang w:eastAsia="es-CO"/>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v:textbox>
            </v:rect>
          </w:pict>
        </mc:Fallback>
      </mc:AlternateContent>
    </w:r>
    <w:r>
      <w:rPr>
        <w:noProof/>
        <w:lang w:eastAsia="es-CO"/>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rsidP="00B70936">
    <w:pPr>
      <w:pStyle w:val="Ttulo4"/>
      <w:numPr>
        <w:ilvl w:val="0"/>
        <w:numId w:val="0"/>
      </w:numPr>
      <w:ind w:left="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16A39C83"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lang w:eastAsia="es-CO"/>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60D5DA11" w14:textId="2A395D2D" w:rsidR="00215289" w:rsidRPr="004A7139" w:rsidRDefault="00412B48" w:rsidP="00215289">
    <w:pPr>
      <w:jc w:val="center"/>
      <w:textDirection w:val="btLr"/>
      <w:rPr>
        <w:b/>
      </w:rPr>
    </w:pPr>
    <w:r w:rsidRPr="007D20C6">
      <w:rPr>
        <w:rFonts w:ascii="Arial" w:eastAsia="Arial" w:hAnsi="Arial" w:cs="Arial"/>
        <w:b/>
        <w:sz w:val="24"/>
        <w:szCs w:val="24"/>
        <w:highlight w:val="yellow"/>
      </w:rPr>
      <w:t xml:space="preserve">POR MEDIO DE LA CUAL SE ADOPTA EL MAPA DE RIESGO DE LA CALIDAD DEL AGUA PARA EL CONSUMO HUMANO </w:t>
    </w:r>
    <w:r w:rsidR="00215289" w:rsidRPr="007D20C6">
      <w:rPr>
        <w:rFonts w:ascii="Arial" w:hAnsi="Arial" w:cs="Arial"/>
        <w:b/>
        <w:sz w:val="24"/>
        <w:szCs w:val="24"/>
        <w:highlight w:val="yellow"/>
      </w:rPr>
      <w:t xml:space="preserve">ASOCIACIÓN COMUNITARIA DE SUSCRIPTORES DEL ACUEDUCTO CESTILLAL DIAMANTE E.S.P – SISTEMA </w:t>
    </w:r>
    <w:r w:rsidR="008372A9" w:rsidRPr="007D20C6">
      <w:rPr>
        <w:rFonts w:ascii="Arial" w:hAnsi="Arial" w:cs="Arial"/>
        <w:b/>
        <w:sz w:val="24"/>
        <w:szCs w:val="24"/>
        <w:highlight w:val="yellow"/>
      </w:rPr>
      <w:t>PEREZ</w:t>
    </w:r>
  </w:p>
  <w:p w14:paraId="546A8AE4" w14:textId="071BA103" w:rsidR="00F7653A" w:rsidRDefault="00F7653A">
    <w:pPr>
      <w:jc w:val="center"/>
      <w:rPr>
        <w:rFonts w:ascii="Arial" w:eastAsia="Arial" w:hAnsi="Arial" w:cs="Arial"/>
        <w:b/>
        <w:sz w:val="24"/>
        <w:szCs w:val="24"/>
      </w:rPr>
    </w:pP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215289"/>
    <w:rsid w:val="002B13A9"/>
    <w:rsid w:val="002F1C24"/>
    <w:rsid w:val="00412B48"/>
    <w:rsid w:val="00466A96"/>
    <w:rsid w:val="0051759B"/>
    <w:rsid w:val="005321BD"/>
    <w:rsid w:val="005C5CF2"/>
    <w:rsid w:val="007842EA"/>
    <w:rsid w:val="0079166D"/>
    <w:rsid w:val="007C1021"/>
    <w:rsid w:val="007D20C6"/>
    <w:rsid w:val="008372A9"/>
    <w:rsid w:val="00910B7A"/>
    <w:rsid w:val="00A73017"/>
    <w:rsid w:val="00B70936"/>
    <w:rsid w:val="00BC0BCE"/>
    <w:rsid w:val="00BC3A98"/>
    <w:rsid w:val="00DB399A"/>
    <w:rsid w:val="00DF6E67"/>
    <w:rsid w:val="00F23A10"/>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2021-10-01T12:47:00Z</dcterms:created>
  <dcterms:modified xsi:type="dcterms:W3CDTF">2021-10-01T12:47:00Z</dcterms:modified>
</cp:coreProperties>
</file>