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9EF1" w14:textId="77777777" w:rsidR="00546CEA" w:rsidRDefault="00CA59E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w:t>
      </w:r>
      <w:r>
        <w:rPr>
          <w:rFonts w:ascii="Calibri" w:eastAsia="Calibri" w:hAnsi="Calibri" w:cs="Calibri"/>
          <w:color w:val="000000"/>
          <w:sz w:val="22"/>
          <w:szCs w:val="22"/>
        </w:rPr>
        <w:t xml:space="preserve"> de 2010, expedidas por el Ministerio de Protección Social y Ambiente, Vivienda y Desarrollo Territorial, Ley 715 del 21 de diciembre de 2001, y</w:t>
      </w:r>
    </w:p>
    <w:p w14:paraId="35F6579F" w14:textId="77777777" w:rsidR="00546CEA" w:rsidRDefault="00546CEA">
      <w:pPr>
        <w:jc w:val="both"/>
        <w:rPr>
          <w:rFonts w:ascii="Calibri" w:eastAsia="Calibri" w:hAnsi="Calibri" w:cs="Calibri"/>
          <w:sz w:val="22"/>
          <w:szCs w:val="22"/>
        </w:rPr>
      </w:pPr>
    </w:p>
    <w:p w14:paraId="468C40F5" w14:textId="77777777" w:rsidR="00546CEA" w:rsidRDefault="00CA59EB">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0DA4DAD0" w14:textId="77777777" w:rsidR="00546CEA" w:rsidRDefault="00546CEA">
      <w:pPr>
        <w:jc w:val="center"/>
        <w:rPr>
          <w:rFonts w:ascii="Calibri" w:eastAsia="Calibri" w:hAnsi="Calibri" w:cs="Calibri"/>
          <w:b/>
          <w:color w:val="000000"/>
          <w:sz w:val="22"/>
          <w:szCs w:val="22"/>
        </w:rPr>
      </w:pPr>
    </w:p>
    <w:p w14:paraId="086B0EF2" w14:textId="77777777" w:rsidR="00546CEA" w:rsidRDefault="00CA59EB">
      <w:pPr>
        <w:jc w:val="both"/>
        <w:rPr>
          <w:rFonts w:ascii="Calibri" w:eastAsia="Calibri" w:hAnsi="Calibri" w:cs="Calibri"/>
          <w:color w:val="3A3939"/>
          <w:sz w:val="22"/>
          <w:szCs w:val="22"/>
        </w:rPr>
      </w:pPr>
      <w:r>
        <w:rPr>
          <w:rFonts w:ascii="Calibri" w:eastAsia="Calibri" w:hAnsi="Calibri" w:cs="Calibri"/>
          <w:color w:val="000000"/>
          <w:sz w:val="22"/>
          <w:szCs w:val="22"/>
        </w:rPr>
        <w:t>Que la ley 9 de 1979, establece el control sanitario de los usos del agua teniendo en cuenta va</w:t>
      </w:r>
      <w:r>
        <w:rPr>
          <w:rFonts w:ascii="Calibri" w:eastAsia="Calibri" w:hAnsi="Calibri" w:cs="Calibri"/>
          <w:color w:val="000000"/>
          <w:sz w:val="22"/>
          <w:szCs w:val="22"/>
        </w:rPr>
        <w:t>rias opciones entre las que se enuncian el consumo humano y el doméstico,</w:t>
      </w:r>
      <w:r>
        <w:rPr>
          <w:rFonts w:ascii="Calibri" w:eastAsia="Calibri" w:hAnsi="Calibri" w:cs="Calibri"/>
          <w:color w:val="3A3939"/>
          <w:sz w:val="22"/>
          <w:szCs w:val="22"/>
        </w:rPr>
        <w:t xml:space="preserve"> señalando en su artículo 4 que el Ministerio de Salud, establecerá cuáles usos que produzcan o puedan producir contaminación de las aguas, requerirán su autorización previa a la conc</w:t>
      </w:r>
      <w:r>
        <w:rPr>
          <w:rFonts w:ascii="Calibri" w:eastAsia="Calibri" w:hAnsi="Calibri" w:cs="Calibri"/>
          <w:color w:val="3A3939"/>
          <w:sz w:val="22"/>
          <w:szCs w:val="22"/>
        </w:rPr>
        <w:t>esión o permiso que otorgue la autoridad competente para el uso del recurso, como también queda facultado para establecer las características deseables y admisibles que deben tener las aguas para efectos del control sanitario.</w:t>
      </w:r>
    </w:p>
    <w:p w14:paraId="0E2901EE" w14:textId="77777777" w:rsidR="00546CEA" w:rsidRDefault="00546CEA">
      <w:pPr>
        <w:jc w:val="both"/>
        <w:rPr>
          <w:rFonts w:ascii="Calibri" w:eastAsia="Calibri" w:hAnsi="Calibri" w:cs="Calibri"/>
          <w:color w:val="3A3939"/>
          <w:sz w:val="22"/>
          <w:szCs w:val="22"/>
        </w:rPr>
      </w:pPr>
    </w:p>
    <w:p w14:paraId="563BBAC9" w14:textId="77777777" w:rsidR="00546CEA" w:rsidRDefault="00CA59EB">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Ley 715 del 21 de dic</w:t>
      </w:r>
      <w:r>
        <w:rPr>
          <w:rFonts w:ascii="Calibri" w:eastAsia="Calibri" w:hAnsi="Calibri" w:cs="Calibri"/>
          <w:color w:val="000000"/>
          <w:sz w:val="22"/>
          <w:szCs w:val="22"/>
        </w:rPr>
        <w:t>iembre de 2001, señala en su artículo 44. “Competencias de los municipios. dirigir y coordinar el sector salud y el Sistema General de Seguridad Social en Salud en el ámbito de su jurisdicción, para lo cual cumplirán las siguientes funciones, sin perjuicio</w:t>
      </w:r>
      <w:r>
        <w:rPr>
          <w:rFonts w:ascii="Calibri" w:eastAsia="Calibri" w:hAnsi="Calibri" w:cs="Calibri"/>
          <w:color w:val="000000"/>
          <w:sz w:val="22"/>
          <w:szCs w:val="22"/>
        </w:rPr>
        <w:t xml:space="preserve"> de las asignadas en otras disposiciones:  en salud publica … 44.3.3.3. Vigilar en su jurisdicción, la calidad del agua para consumo humano; la recolección, transporte y disposición final de residuos sólidos; manejo y disposición final de radiaciones ioniz</w:t>
      </w:r>
      <w:r>
        <w:rPr>
          <w:rFonts w:ascii="Calibri" w:eastAsia="Calibri" w:hAnsi="Calibri" w:cs="Calibri"/>
          <w:color w:val="000000"/>
          <w:sz w:val="22"/>
          <w:szCs w:val="22"/>
        </w:rPr>
        <w:t xml:space="preserve">antes, excretas, residuos líquidos y aguas servidas; así como la calidad del aire. Para tal efecto, coordinará con las autoridades competentes las acciones de control a que haya lugar. </w:t>
      </w:r>
    </w:p>
    <w:p w14:paraId="4C799B1E" w14:textId="77777777" w:rsidR="00546CEA" w:rsidRDefault="00CA59EB">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por el cual se establece el Si</w:t>
      </w:r>
      <w:r>
        <w:rPr>
          <w:rFonts w:ascii="Calibri" w:eastAsia="Calibri" w:hAnsi="Calibri" w:cs="Calibri"/>
          <w:color w:val="000000"/>
          <w:sz w:val="22"/>
          <w:szCs w:val="22"/>
        </w:rPr>
        <w:t xml:space="preserve">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Las direcciones territoriales de salud como autoridades sa</w:t>
      </w:r>
      <w:r>
        <w:rPr>
          <w:rFonts w:ascii="Calibri" w:eastAsia="Calibri" w:hAnsi="Calibri" w:cs="Calibri"/>
          <w:color w:val="000000"/>
          <w:sz w:val="22"/>
          <w:szCs w:val="22"/>
        </w:rPr>
        <w:t xml:space="preserve">nitarias de los departamentos, distritos y municipios, ejercerán la vigilancia sobre la calidad del agua para consumo humano. Para ello desarrollarán las siguientes acciones: </w:t>
      </w:r>
    </w:p>
    <w:p w14:paraId="7040AF87" w14:textId="77777777" w:rsidR="00546CEA" w:rsidRDefault="00CA59EB">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5. Realizar la vigilancia de las características físicas, químicas y microbio</w:t>
      </w:r>
      <w:r>
        <w:rPr>
          <w:rFonts w:ascii="Calibri" w:eastAsia="Calibri" w:hAnsi="Calibri" w:cs="Calibri"/>
          <w:color w:val="000000"/>
          <w:sz w:val="22"/>
          <w:szCs w:val="22"/>
        </w:rPr>
        <w:t xml:space="preserve">lógicas del agua, como también de las características adicionales definidas en el mapa de riesgo, tanto en la red de distribución como en otros medios de suministro de </w:t>
      </w:r>
      <w:proofErr w:type="gramStart"/>
      <w:r>
        <w:rPr>
          <w:rFonts w:ascii="Calibri" w:eastAsia="Calibri" w:hAnsi="Calibri" w:cs="Calibri"/>
          <w:color w:val="000000"/>
          <w:sz w:val="22"/>
          <w:szCs w:val="22"/>
        </w:rPr>
        <w:t>la misma</w:t>
      </w:r>
      <w:proofErr w:type="gramEnd"/>
      <w:r>
        <w:rPr>
          <w:rFonts w:ascii="Calibri" w:eastAsia="Calibri" w:hAnsi="Calibri" w:cs="Calibri"/>
          <w:color w:val="000000"/>
          <w:sz w:val="22"/>
          <w:szCs w:val="22"/>
        </w:rPr>
        <w:t xml:space="preserve">, según se establezca en la reglamentación del presente decreto. </w:t>
      </w:r>
    </w:p>
    <w:p w14:paraId="7C9AC1E1" w14:textId="77777777" w:rsidR="00546CEA" w:rsidRDefault="00CA59EB">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PARÁGRAFO 1</w:t>
      </w:r>
      <w:r>
        <w:rPr>
          <w:rFonts w:ascii="Calibri" w:eastAsia="Calibri" w:hAnsi="Calibri" w:cs="Calibri"/>
          <w:b/>
          <w:color w:val="000000"/>
          <w:sz w:val="22"/>
          <w:szCs w:val="22"/>
        </w:rPr>
        <w:t xml:space="preserve">.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w:t>
      </w:r>
      <w:r>
        <w:rPr>
          <w:rFonts w:ascii="Calibri" w:eastAsia="Calibri" w:hAnsi="Calibri" w:cs="Calibri"/>
          <w:color w:val="000000"/>
          <w:sz w:val="22"/>
          <w:szCs w:val="22"/>
        </w:rPr>
        <w:t xml:space="preserve">dades sanitarias, en un plazo no mayor a un (1) mes contado a partir de la fecha de </w:t>
      </w:r>
      <w:proofErr w:type="gramStart"/>
      <w:r>
        <w:rPr>
          <w:rFonts w:ascii="Calibri" w:eastAsia="Calibri" w:hAnsi="Calibri" w:cs="Calibri"/>
          <w:color w:val="000000"/>
          <w:sz w:val="22"/>
          <w:szCs w:val="22"/>
        </w:rPr>
        <w:t>entrada en vigencia</w:t>
      </w:r>
      <w:proofErr w:type="gramEnd"/>
      <w:r>
        <w:rPr>
          <w:rFonts w:ascii="Calibri" w:eastAsia="Calibri" w:hAnsi="Calibri" w:cs="Calibri"/>
          <w:color w:val="000000"/>
          <w:sz w:val="22"/>
          <w:szCs w:val="22"/>
        </w:rPr>
        <w:t xml:space="preserve"> del presente decreto, la cual deberá́ tener en cuenta como mínimo, “.</w:t>
      </w:r>
    </w:p>
    <w:p w14:paraId="580CCE0C" w14:textId="77777777" w:rsidR="00546CEA" w:rsidRDefault="00CA59EB">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w:t>
      </w:r>
      <w:r>
        <w:rPr>
          <w:rFonts w:ascii="Calibri" w:eastAsia="Calibri" w:hAnsi="Calibri" w:cs="Calibri"/>
          <w:color w:val="000000"/>
          <w:sz w:val="22"/>
          <w:szCs w:val="22"/>
        </w:rPr>
        <w:t>entidad competente para expedir el acto administrativo mediante el cual se adopta el Mapa de Riesgo de la Calidad del Agua para el Consumo Humano, conforme a lo establecido en los artículos 4, 5 y 8 de la mencionada Resolución 4716 de noviembre 18 de 2010.</w:t>
      </w:r>
    </w:p>
    <w:p w14:paraId="7E497F31" w14:textId="77777777" w:rsidR="00546CEA" w:rsidRDefault="00546CEA">
      <w:pPr>
        <w:jc w:val="both"/>
        <w:rPr>
          <w:rFonts w:ascii="Calibri" w:eastAsia="Calibri" w:hAnsi="Calibri" w:cs="Calibri"/>
          <w:color w:val="000000"/>
          <w:sz w:val="22"/>
          <w:szCs w:val="22"/>
        </w:rPr>
      </w:pPr>
    </w:p>
    <w:p w14:paraId="64A17D06" w14:textId="77777777" w:rsidR="00546CEA" w:rsidRDefault="00CA59EB">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vigilancia de las características físicas, químicas y microbiológicas del agua para el Consumo Humano, como también de las características adicionales definidas en el mapa de riesgo, en la red de abastecimiento como en distribución a los acueductos rurales</w:t>
      </w:r>
      <w:r>
        <w:rPr>
          <w:rFonts w:ascii="Calibri" w:eastAsia="Calibri" w:hAnsi="Calibri" w:cs="Calibri"/>
          <w:sz w:val="22"/>
          <w:szCs w:val="22"/>
        </w:rPr>
        <w:t xml:space="preserve">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 xml:space="preserve">prestador del servicio con el nombre, dirección, teléfono, e-mail, nombre del representante legal </w:t>
      </w:r>
      <w:r>
        <w:rPr>
          <w:rFonts w:ascii="Calibri" w:eastAsia="Calibri" w:hAnsi="Calibri" w:cs="Calibri"/>
          <w:sz w:val="22"/>
          <w:szCs w:val="22"/>
        </w:rPr>
        <w:t>o responsable, tipo de persona prestadora, NIT, fuentes abastecedoras.</w:t>
      </w:r>
    </w:p>
    <w:p w14:paraId="224643B2" w14:textId="77777777" w:rsidR="00546CEA" w:rsidRDefault="00546CEA">
      <w:pPr>
        <w:jc w:val="both"/>
        <w:rPr>
          <w:rFonts w:ascii="Calibri" w:eastAsia="Calibri" w:hAnsi="Calibri" w:cs="Calibri"/>
          <w:color w:val="000000"/>
          <w:sz w:val="22"/>
          <w:szCs w:val="22"/>
        </w:rPr>
      </w:pPr>
    </w:p>
    <w:p w14:paraId="7C9FC872" w14:textId="77777777" w:rsidR="00546CEA" w:rsidRDefault="00CA59EB">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después de realizar las acciones para la elaboración del mapa de riesgo a la </w:t>
      </w:r>
      <w:r>
        <w:rPr>
          <w:rFonts w:ascii="Calibri" w:eastAsia="Calibri" w:hAnsi="Calibri" w:cs="Calibri"/>
          <w:b/>
          <w:sz w:val="22"/>
          <w:szCs w:val="22"/>
        </w:rPr>
        <w:t xml:space="preserve">JUNTA ADMINISTRADORA ACUEDUCTO AMOLADORA </w:t>
      </w:r>
      <w:r>
        <w:rPr>
          <w:rFonts w:ascii="Calibri" w:eastAsia="Calibri" w:hAnsi="Calibri" w:cs="Calibri"/>
          <w:b/>
          <w:sz w:val="22"/>
          <w:szCs w:val="22"/>
        </w:rPr>
        <w:t>BAJA</w:t>
      </w:r>
      <w:r>
        <w:rPr>
          <w:rFonts w:ascii="Calibri" w:eastAsia="Calibri" w:hAnsi="Calibri" w:cs="Calibri"/>
          <w:color w:val="000000"/>
          <w:sz w:val="22"/>
          <w:szCs w:val="22"/>
        </w:rPr>
        <w:t xml:space="preserve"> de la jurisdicción de Pereira, durante la vigencia del año 202</w:t>
      </w:r>
      <w:r>
        <w:rPr>
          <w:rFonts w:ascii="Calibri" w:eastAsia="Calibri" w:hAnsi="Calibri" w:cs="Calibri"/>
          <w:sz w:val="22"/>
          <w:szCs w:val="22"/>
        </w:rPr>
        <w:t>1</w:t>
      </w:r>
      <w:r>
        <w:rPr>
          <w:rFonts w:ascii="Calibri" w:eastAsia="Calibri" w:hAnsi="Calibri" w:cs="Calibri"/>
          <w:color w:val="000000"/>
          <w:sz w:val="22"/>
          <w:szCs w:val="22"/>
        </w:rPr>
        <w:t>, y evaluar la información y análisis del agua, se encontró:</w:t>
      </w:r>
    </w:p>
    <w:p w14:paraId="18D9B3E1" w14:textId="77777777" w:rsidR="00546CEA" w:rsidRDefault="00546CEA">
      <w:pPr>
        <w:jc w:val="both"/>
        <w:rPr>
          <w:rFonts w:ascii="Calibri" w:eastAsia="Calibri" w:hAnsi="Calibri" w:cs="Calibri"/>
          <w:sz w:val="22"/>
          <w:szCs w:val="22"/>
        </w:rPr>
      </w:pPr>
    </w:p>
    <w:p w14:paraId="72D678F4" w14:textId="77777777" w:rsidR="00546CEA" w:rsidRDefault="00CA59EB">
      <w:pPr>
        <w:numPr>
          <w:ilvl w:val="0"/>
          <w:numId w:val="1"/>
        </w:numPr>
        <w:spacing w:after="240"/>
        <w:jc w:val="both"/>
        <w:rPr>
          <w:rFonts w:ascii="Arial" w:eastAsia="Arial" w:hAnsi="Arial" w:cs="Arial"/>
          <w:sz w:val="22"/>
          <w:szCs w:val="22"/>
        </w:rPr>
      </w:pPr>
      <w:r>
        <w:rPr>
          <w:rFonts w:ascii="Calibri" w:eastAsia="Calibri" w:hAnsi="Calibri" w:cs="Calibri"/>
          <w:b/>
          <w:sz w:val="22"/>
          <w:szCs w:val="22"/>
        </w:rPr>
        <w:t>JUNTA ADMINISTRADORA ACUEDUCTO AMOLADORA BAJA</w:t>
      </w:r>
      <w:r>
        <w:rPr>
          <w:rFonts w:ascii="Calibri" w:eastAsia="Calibri" w:hAnsi="Calibri" w:cs="Calibri"/>
          <w:b/>
          <w:sz w:val="22"/>
          <w:szCs w:val="22"/>
          <w:highlight w:val="white"/>
        </w:rPr>
        <w:t>:</w:t>
      </w:r>
      <w:r>
        <w:rPr>
          <w:rFonts w:ascii="Calibri" w:eastAsia="Calibri" w:hAnsi="Calibri" w:cs="Calibri"/>
          <w:sz w:val="22"/>
          <w:szCs w:val="22"/>
        </w:rPr>
        <w:t xml:space="preserve"> Con base en el acta de inspección ocular </w:t>
      </w:r>
      <w:r>
        <w:rPr>
          <w:rFonts w:ascii="Calibri" w:eastAsia="Calibri" w:hAnsi="Calibri" w:cs="Calibri"/>
          <w:b/>
          <w:sz w:val="22"/>
          <w:szCs w:val="22"/>
          <w:u w:val="single"/>
        </w:rPr>
        <w:t xml:space="preserve">RJR 015-21 del 28 de mayo del 2021 </w:t>
      </w:r>
      <w:r>
        <w:rPr>
          <w:rFonts w:ascii="Calibri" w:eastAsia="Calibri" w:hAnsi="Calibri" w:cs="Calibri"/>
          <w:sz w:val="22"/>
          <w:szCs w:val="22"/>
        </w:rPr>
        <w:t>se elaboró el anexo técnico I, donde se indica que al momento de la visita las condiciones del agua en fuente abastecedora (Quebrada Minas del Socorro), la Microcuenca posee una m</w:t>
      </w:r>
      <w:r>
        <w:rPr>
          <w:rFonts w:ascii="Calibri" w:eastAsia="Calibri" w:hAnsi="Calibri" w:cs="Calibri"/>
          <w:sz w:val="22"/>
          <w:szCs w:val="22"/>
        </w:rPr>
        <w:t>atriz dominada por sistemas naturales y en menor medida por zonas en recuperación (vegetación secundaria) y algunas áreas con usos agrícolas (Café, plátano) que generan procesos de degradación del suelo, al igual pastizales que en su momento fueron asociad</w:t>
      </w:r>
      <w:r>
        <w:rPr>
          <w:rFonts w:ascii="Calibri" w:eastAsia="Calibri" w:hAnsi="Calibri" w:cs="Calibri"/>
          <w:sz w:val="22"/>
          <w:szCs w:val="22"/>
        </w:rPr>
        <w:t>os a ganadería y que en la actualidad se encuentran con arbustos bajos. También se identificaron áreas de protección del recurso hídrico, principalmente ubicadas aguas arriba de las bocatomas tanto de usuarios individuales como colectivos.</w:t>
      </w:r>
    </w:p>
    <w:p w14:paraId="28EB2E04" w14:textId="77777777" w:rsidR="00546CEA" w:rsidRDefault="00CA59EB">
      <w:pPr>
        <w:ind w:left="720"/>
        <w:jc w:val="both"/>
        <w:rPr>
          <w:rFonts w:ascii="Calibri" w:eastAsia="Calibri" w:hAnsi="Calibri" w:cs="Calibri"/>
          <w:sz w:val="22"/>
          <w:szCs w:val="22"/>
        </w:rPr>
      </w:pPr>
      <w:r>
        <w:rPr>
          <w:rFonts w:ascii="Calibri" w:eastAsia="Calibri" w:hAnsi="Calibri" w:cs="Calibri"/>
          <w:sz w:val="22"/>
          <w:szCs w:val="22"/>
        </w:rPr>
        <w:t>Se observaron pr</w:t>
      </w:r>
      <w:r>
        <w:rPr>
          <w:rFonts w:ascii="Calibri" w:eastAsia="Calibri" w:hAnsi="Calibri" w:cs="Calibri"/>
          <w:sz w:val="22"/>
          <w:szCs w:val="22"/>
        </w:rPr>
        <w:t xml:space="preserve">oblemas de contaminación asociados con vertimientos de origen agrícola, pecuario y doméstico, y lo más importante la presión que se ejerce sobre el recurso hídrico en términos de calidad y cantidad, también se identificaron áreas de protección del recurso </w:t>
      </w:r>
      <w:r>
        <w:rPr>
          <w:rFonts w:ascii="Calibri" w:eastAsia="Calibri" w:hAnsi="Calibri" w:cs="Calibri"/>
          <w:sz w:val="22"/>
          <w:szCs w:val="22"/>
        </w:rPr>
        <w:t xml:space="preserve">hídrico, principalmente ubicadas aguas arriba de la bocatoma. Se observa la presencia de agroquímicos en la zona, utilizados en los cultivos como son, </w:t>
      </w:r>
      <w:proofErr w:type="spellStart"/>
      <w:r>
        <w:rPr>
          <w:rFonts w:ascii="Calibri" w:eastAsia="Calibri" w:hAnsi="Calibri" w:cs="Calibri"/>
          <w:sz w:val="22"/>
          <w:szCs w:val="22"/>
        </w:rPr>
        <w:t>Tiodan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Lorban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Raudan</w:t>
      </w:r>
      <w:proofErr w:type="spellEnd"/>
      <w:r>
        <w:rPr>
          <w:rFonts w:ascii="Calibri" w:eastAsia="Calibri" w:hAnsi="Calibri" w:cs="Calibri"/>
          <w:sz w:val="22"/>
          <w:szCs w:val="22"/>
        </w:rPr>
        <w:t xml:space="preserve"> y Oxicloruro, los cuales por escorrentía probablemente contaminan las fuentes hídr</w:t>
      </w:r>
      <w:r>
        <w:rPr>
          <w:rFonts w:ascii="Calibri" w:eastAsia="Calibri" w:hAnsi="Calibri" w:cs="Calibri"/>
          <w:sz w:val="22"/>
          <w:szCs w:val="22"/>
        </w:rPr>
        <w:t xml:space="preserve">icas. </w:t>
      </w:r>
    </w:p>
    <w:p w14:paraId="61510F37" w14:textId="77777777" w:rsidR="00546CEA" w:rsidRDefault="00546CEA">
      <w:pPr>
        <w:ind w:left="720"/>
        <w:jc w:val="both"/>
        <w:rPr>
          <w:rFonts w:ascii="Calibri" w:eastAsia="Calibri" w:hAnsi="Calibri" w:cs="Calibri"/>
          <w:sz w:val="22"/>
          <w:szCs w:val="22"/>
        </w:rPr>
      </w:pPr>
    </w:p>
    <w:p w14:paraId="7DC1A0EB" w14:textId="77777777" w:rsidR="00546CEA" w:rsidRDefault="00CA59EB">
      <w:pPr>
        <w:ind w:left="720"/>
        <w:jc w:val="both"/>
        <w:rPr>
          <w:rFonts w:ascii="Calibri" w:eastAsia="Calibri" w:hAnsi="Calibri" w:cs="Calibri"/>
          <w:sz w:val="22"/>
          <w:szCs w:val="22"/>
        </w:rPr>
      </w:pPr>
      <w:r>
        <w:rPr>
          <w:rFonts w:ascii="Calibri" w:eastAsia="Calibri" w:hAnsi="Calibri" w:cs="Calibri"/>
          <w:sz w:val="22"/>
          <w:szCs w:val="22"/>
        </w:rPr>
        <w:t>Solo se evidenciaron algunos relictos de guadua y parches boscosos cercanos al curso de la quebrada, sin embargo, no se observó una adecuada delimitación de la franja protectora en esta parte de la microcuenca. Debido a la topografía de la parte al</w:t>
      </w:r>
      <w:r>
        <w:rPr>
          <w:rFonts w:ascii="Calibri" w:eastAsia="Calibri" w:hAnsi="Calibri" w:cs="Calibri"/>
          <w:sz w:val="22"/>
          <w:szCs w:val="22"/>
        </w:rPr>
        <w:t>ta de la subcuenca (fuertes pendientes), se presentan constantes procesos erosivos, generando procesos de sedimentación y afectación de las estructuras del sistema de abastecimiento de agua. De igual modo, los problemas asociados a crecidas y avalanchas ha</w:t>
      </w:r>
      <w:r>
        <w:rPr>
          <w:rFonts w:ascii="Calibri" w:eastAsia="Calibri" w:hAnsi="Calibri" w:cs="Calibri"/>
          <w:sz w:val="22"/>
          <w:szCs w:val="22"/>
        </w:rPr>
        <w:t>n mostrado daños sobre la infraestructura de la bocatoma y destrucción total de la caseta de cloración del Acueducto. La Matriz de Evaluación de Impacto Ambiental permite observar cómo el estado del cuerpo de agua se ve condicionado principalmente por proc</w:t>
      </w:r>
      <w:r>
        <w:rPr>
          <w:rFonts w:ascii="Calibri" w:eastAsia="Calibri" w:hAnsi="Calibri" w:cs="Calibri"/>
          <w:sz w:val="22"/>
          <w:szCs w:val="22"/>
        </w:rPr>
        <w:t>esos derivados de los diferentes usos del suelo identificados: agrícola y pastizales. De este modo en la Microcuenca, aunque existe gran área dedicada a la protección del recurso existen presiones de los usos antes mencionados, por lo cual se recomienda co</w:t>
      </w:r>
      <w:r>
        <w:rPr>
          <w:rFonts w:ascii="Calibri" w:eastAsia="Calibri" w:hAnsi="Calibri" w:cs="Calibri"/>
          <w:sz w:val="22"/>
          <w:szCs w:val="22"/>
        </w:rPr>
        <w:t>ntrol y seguimiento a las prácticas locales, el acueducto debe conocer, mantener y ajustar su infraestructura de captación, conducción y distribución, así como el censo de sus suscriptores. En las bocatomas se requiere implementar estructuras de control de</w:t>
      </w:r>
      <w:r>
        <w:rPr>
          <w:rFonts w:ascii="Calibri" w:eastAsia="Calibri" w:hAnsi="Calibri" w:cs="Calibri"/>
          <w:sz w:val="22"/>
          <w:szCs w:val="22"/>
        </w:rPr>
        <w:t xml:space="preserve"> caudales, contar con sistemas de macro y </w:t>
      </w:r>
      <w:proofErr w:type="spellStart"/>
      <w:r>
        <w:rPr>
          <w:rFonts w:ascii="Calibri" w:eastAsia="Calibri" w:hAnsi="Calibri" w:cs="Calibri"/>
          <w:sz w:val="22"/>
          <w:szCs w:val="22"/>
        </w:rPr>
        <w:t>micromedición</w:t>
      </w:r>
      <w:proofErr w:type="spellEnd"/>
      <w:r>
        <w:rPr>
          <w:rFonts w:ascii="Calibri" w:eastAsia="Calibri" w:hAnsi="Calibri" w:cs="Calibri"/>
          <w:sz w:val="22"/>
          <w:szCs w:val="22"/>
        </w:rPr>
        <w:t>, así como implementar medidas de protección de las fuentes abastecedoras.</w:t>
      </w:r>
    </w:p>
    <w:p w14:paraId="084765D0" w14:textId="77777777" w:rsidR="00546CEA" w:rsidRDefault="00546CEA">
      <w:pPr>
        <w:ind w:left="720"/>
        <w:jc w:val="both"/>
      </w:pPr>
    </w:p>
    <w:p w14:paraId="36199B94" w14:textId="77777777" w:rsidR="00546CEA" w:rsidRDefault="00CA59EB">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w:t>
      </w:r>
      <w:r>
        <w:rPr>
          <w:rFonts w:ascii="Calibri" w:eastAsia="Calibri" w:hAnsi="Calibri" w:cs="Calibri"/>
          <w:color w:val="000000"/>
          <w:sz w:val="22"/>
          <w:szCs w:val="22"/>
        </w:rPr>
        <w:t>trol y vigilancia para la calidad del agua para consumo humano, establece en su artículo 21, que “el control de los análisis físicos, químicos y microbiológicos debe realizarse en la red de distribución por parte de las personas prestadoras. Se sujetará co</w:t>
      </w:r>
      <w:r>
        <w:rPr>
          <w:rFonts w:ascii="Calibri" w:eastAsia="Calibri" w:hAnsi="Calibri" w:cs="Calibri"/>
          <w:color w:val="000000"/>
          <w:sz w:val="22"/>
          <w:szCs w:val="22"/>
        </w:rPr>
        <w:t>mo mínimo a las frecuencias y número de muestras de acuerdo con la población atendida, el mapa de riesgo y lo exigido por la autoridad sanitaria de la jurisdicción”.</w:t>
      </w:r>
    </w:p>
    <w:p w14:paraId="0F724D64" w14:textId="77777777" w:rsidR="00546CEA" w:rsidRDefault="00CA59EB">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en su artículo 15, 16 y 28, establece una obligació</w:t>
      </w:r>
      <w:r>
        <w:rPr>
          <w:rFonts w:ascii="Calibri" w:eastAsia="Calibri" w:hAnsi="Calibri" w:cs="Calibri"/>
          <w:b/>
          <w:color w:val="000000"/>
          <w:sz w:val="22"/>
          <w:szCs w:val="22"/>
        </w:rPr>
        <w:t xml:space="preserve">n para la autoridad sanitaria, </w:t>
      </w:r>
      <w:r>
        <w:rPr>
          <w:rFonts w:ascii="Calibri" w:eastAsia="Calibri" w:hAnsi="Calibri" w:cs="Calibri"/>
          <w:color w:val="000000"/>
          <w:sz w:val="22"/>
          <w:szCs w:val="22"/>
        </w:rPr>
        <w:t>de realizar la revisión y actualización del Mapa de Riesgo de la Calidad del Agua para Consumo Humano de los sistemas de abastecimiento y red de distribución de la respectiva jurisdicción, se hará́ anualmente con base en la i</w:t>
      </w:r>
      <w:r>
        <w:rPr>
          <w:rFonts w:ascii="Calibri" w:eastAsia="Calibri" w:hAnsi="Calibri" w:cs="Calibri"/>
          <w:color w:val="000000"/>
          <w:sz w:val="22"/>
          <w:szCs w:val="22"/>
        </w:rPr>
        <w:t xml:space="preserve">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2F0FB9E4" w14:textId="77777777" w:rsidR="00546CEA" w:rsidRDefault="00CA59EB">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w:t>
      </w:r>
      <w:r>
        <w:rPr>
          <w:rFonts w:ascii="Calibri" w:eastAsia="Calibri" w:hAnsi="Calibri" w:cs="Calibri"/>
          <w:sz w:val="22"/>
          <w:szCs w:val="22"/>
        </w:rPr>
        <w:t>olución los siguientes conceptos:</w:t>
      </w:r>
    </w:p>
    <w:p w14:paraId="095B1B06" w14:textId="77777777" w:rsidR="00546CEA" w:rsidRDefault="00546CEA">
      <w:pPr>
        <w:jc w:val="both"/>
        <w:rPr>
          <w:rFonts w:ascii="Calibri" w:eastAsia="Calibri" w:hAnsi="Calibri" w:cs="Calibri"/>
          <w:sz w:val="22"/>
          <w:szCs w:val="22"/>
        </w:rPr>
      </w:pPr>
    </w:p>
    <w:p w14:paraId="07287BB1"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w:t>
      </w:r>
      <w:r>
        <w:rPr>
          <w:rFonts w:ascii="Calibri" w:eastAsia="Calibri" w:hAnsi="Calibri" w:cs="Calibri"/>
          <w:sz w:val="22"/>
          <w:szCs w:val="22"/>
        </w:rPr>
        <w:t>ncas abastecedoras de sistemas de suministro de agua para consumo humano, las características físicas, químicas y microbiológicas del agua de las fuentes superficiales o subterráneas de una determinada región, que puedan generar riesgos graves a la salud h</w:t>
      </w:r>
      <w:r>
        <w:rPr>
          <w:rFonts w:ascii="Calibri" w:eastAsia="Calibri" w:hAnsi="Calibri" w:cs="Calibri"/>
          <w:sz w:val="22"/>
          <w:szCs w:val="22"/>
        </w:rPr>
        <w:t>umana si no son adecuadamente tratadas, independientemente de si provienen de una contaminación por eventos naturales o antrópicos.</w:t>
      </w:r>
    </w:p>
    <w:p w14:paraId="371DE5DB" w14:textId="77777777" w:rsidR="00546CEA" w:rsidRDefault="00546CEA">
      <w:pPr>
        <w:tabs>
          <w:tab w:val="left" w:pos="7250"/>
        </w:tabs>
        <w:jc w:val="both"/>
        <w:rPr>
          <w:rFonts w:ascii="Calibri" w:eastAsia="Calibri" w:hAnsi="Calibri" w:cs="Calibri"/>
          <w:sz w:val="22"/>
          <w:szCs w:val="22"/>
        </w:rPr>
      </w:pPr>
    </w:p>
    <w:p w14:paraId="1107D103"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w:t>
      </w:r>
      <w:r>
        <w:rPr>
          <w:rFonts w:ascii="Calibri" w:eastAsia="Calibri" w:hAnsi="Calibri" w:cs="Calibri"/>
          <w:sz w:val="22"/>
          <w:szCs w:val="22"/>
        </w:rPr>
        <w:t xml:space="preserve">tos especificados y la magnitud de las consecuencias. </w:t>
      </w:r>
    </w:p>
    <w:p w14:paraId="73EA1A62" w14:textId="77777777" w:rsidR="00546CEA" w:rsidRDefault="00546CEA">
      <w:pPr>
        <w:tabs>
          <w:tab w:val="left" w:pos="7250"/>
        </w:tabs>
        <w:jc w:val="both"/>
        <w:rPr>
          <w:rFonts w:ascii="Calibri" w:eastAsia="Calibri" w:hAnsi="Calibri" w:cs="Calibri"/>
          <w:sz w:val="22"/>
          <w:szCs w:val="22"/>
        </w:rPr>
      </w:pPr>
    </w:p>
    <w:p w14:paraId="77030793"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w:t>
      </w:r>
      <w:r>
        <w:rPr>
          <w:rFonts w:ascii="Calibri" w:eastAsia="Calibri" w:hAnsi="Calibri" w:cs="Calibri"/>
          <w:sz w:val="22"/>
          <w:szCs w:val="22"/>
        </w:rPr>
        <w:t xml:space="preserve">icas físicas, químicas y microbiológica del agua para consumo humano, como también de las características adicionales definidas en el mapa de riesgo o lo exigido por la autoridad sanitaria de la jurisdicción,   según se establezca en la reglamentación del </w:t>
      </w:r>
      <w:r>
        <w:rPr>
          <w:rFonts w:ascii="Calibri" w:eastAsia="Calibri" w:hAnsi="Calibri" w:cs="Calibri"/>
          <w:sz w:val="22"/>
          <w:szCs w:val="22"/>
        </w:rPr>
        <w:t>presente decreto, para garantizar la calidad del agua para consumo humano en cualquiera de los puntos que conforman el sistema de suministro y en toda época del año.</w:t>
      </w:r>
    </w:p>
    <w:p w14:paraId="4A469AD9" w14:textId="77777777" w:rsidR="00546CEA" w:rsidRDefault="00546CEA">
      <w:pPr>
        <w:tabs>
          <w:tab w:val="left" w:pos="7250"/>
        </w:tabs>
        <w:jc w:val="both"/>
        <w:rPr>
          <w:rFonts w:ascii="Calibri" w:eastAsia="Calibri" w:hAnsi="Calibri" w:cs="Calibri"/>
          <w:sz w:val="22"/>
          <w:szCs w:val="22"/>
        </w:rPr>
      </w:pPr>
    </w:p>
    <w:p w14:paraId="11AF47D5"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0C63776C" w14:textId="77777777" w:rsidR="00546CEA" w:rsidRDefault="00546CEA">
      <w:pPr>
        <w:tabs>
          <w:tab w:val="left" w:pos="7250"/>
        </w:tabs>
        <w:jc w:val="both"/>
        <w:rPr>
          <w:rFonts w:ascii="Calibri" w:eastAsia="Calibri" w:hAnsi="Calibri" w:cs="Calibri"/>
          <w:sz w:val="22"/>
          <w:szCs w:val="22"/>
        </w:rPr>
      </w:pPr>
    </w:p>
    <w:p w14:paraId="5EE910D2"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xml:space="preserve">: probabilidad de que un agente o sustancia produzca o genere una </w:t>
      </w:r>
      <w:r>
        <w:rPr>
          <w:rFonts w:ascii="Calibri" w:eastAsia="Calibri" w:hAnsi="Calibri" w:cs="Calibri"/>
          <w:sz w:val="22"/>
          <w:szCs w:val="22"/>
        </w:rPr>
        <w:t>alteración a la salud como consecuencia de una exposición al mismo.</w:t>
      </w:r>
    </w:p>
    <w:p w14:paraId="2E373709" w14:textId="77777777" w:rsidR="00546CEA" w:rsidRDefault="00546CEA">
      <w:pPr>
        <w:tabs>
          <w:tab w:val="left" w:pos="7250"/>
        </w:tabs>
        <w:jc w:val="both"/>
        <w:rPr>
          <w:rFonts w:ascii="Calibri" w:eastAsia="Calibri" w:hAnsi="Calibri" w:cs="Calibri"/>
          <w:sz w:val="22"/>
          <w:szCs w:val="22"/>
        </w:rPr>
      </w:pPr>
    </w:p>
    <w:p w14:paraId="17471995"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xml:space="preserve">: es el conjunto de responsables, instrumentos, procesos, medidas de seguridad, recursos, características y </w:t>
      </w:r>
      <w:r>
        <w:rPr>
          <w:rFonts w:ascii="Calibri" w:eastAsia="Calibri" w:hAnsi="Calibri" w:cs="Calibri"/>
          <w:sz w:val="22"/>
          <w:szCs w:val="22"/>
        </w:rPr>
        <w:t>criterios organizados entre sí para garantizar la calidad de agua para consumo humano.</w:t>
      </w:r>
    </w:p>
    <w:p w14:paraId="1DAD1D48" w14:textId="77777777" w:rsidR="00546CEA" w:rsidRDefault="00546CEA">
      <w:pPr>
        <w:tabs>
          <w:tab w:val="left" w:pos="7250"/>
        </w:tabs>
        <w:jc w:val="both"/>
        <w:rPr>
          <w:rFonts w:ascii="Calibri" w:eastAsia="Calibri" w:hAnsi="Calibri" w:cs="Calibri"/>
          <w:sz w:val="22"/>
          <w:szCs w:val="22"/>
        </w:rPr>
      </w:pPr>
    </w:p>
    <w:p w14:paraId="154916D2"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w:t>
      </w:r>
      <w:r>
        <w:rPr>
          <w:rFonts w:ascii="Calibri" w:eastAsia="Calibri" w:hAnsi="Calibri" w:cs="Calibri"/>
          <w:sz w:val="22"/>
          <w:szCs w:val="22"/>
        </w:rPr>
        <w:t>ción, aducción, pretratamiento, tratamiento, almacenamiento, conducción y distribución del agua para consumo humano.</w:t>
      </w:r>
    </w:p>
    <w:p w14:paraId="2FFD2A97"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w:t>
      </w:r>
      <w:r>
        <w:rPr>
          <w:rFonts w:ascii="Calibri" w:eastAsia="Calibri" w:hAnsi="Calibri" w:cs="Calibri"/>
          <w:sz w:val="22"/>
          <w:szCs w:val="22"/>
        </w:rPr>
        <w:t>les entran en contacto. Incluye sustancias utilizadas en actividades domésticas, producción de bienes o servicios y plaguicidas, que pueden estar presentes en el agua para consumo humano.</w:t>
      </w:r>
    </w:p>
    <w:p w14:paraId="1E57B474" w14:textId="77777777" w:rsidR="00546CEA" w:rsidRDefault="00546CEA">
      <w:pPr>
        <w:tabs>
          <w:tab w:val="left" w:pos="7250"/>
        </w:tabs>
        <w:jc w:val="both"/>
        <w:rPr>
          <w:rFonts w:ascii="Calibri" w:eastAsia="Calibri" w:hAnsi="Calibri" w:cs="Calibri"/>
          <w:sz w:val="22"/>
          <w:szCs w:val="22"/>
        </w:rPr>
      </w:pPr>
    </w:p>
    <w:p w14:paraId="25B29890" w14:textId="77777777" w:rsidR="00546CEA" w:rsidRDefault="00CA59EB">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VIGILANCIA DE LA CALIDAD DEL AGUA PARA CONSUMO HUMANO</w:t>
      </w:r>
      <w:r>
        <w:rPr>
          <w:rFonts w:ascii="Calibri" w:eastAsia="Calibri" w:hAnsi="Calibri" w:cs="Calibri"/>
          <w:sz w:val="22"/>
          <w:szCs w:val="22"/>
        </w:rPr>
        <w:t>: es el conjun</w:t>
      </w:r>
      <w:r>
        <w:rPr>
          <w:rFonts w:ascii="Calibri" w:eastAsia="Calibri" w:hAnsi="Calibri" w:cs="Calibri"/>
          <w:sz w:val="22"/>
          <w:szCs w:val="22"/>
        </w:rPr>
        <w:t>to de acciones periódicas realizadas por la autoridad sanitaria o por las personas prestadoras que suministran o distribuyen agua para el consumo humano en municipios de más de cien mil (100.000) habitantes, según el caso, para comprobar y evaluar el riesg</w:t>
      </w:r>
      <w:r>
        <w:rPr>
          <w:rFonts w:ascii="Calibri" w:eastAsia="Calibri" w:hAnsi="Calibri" w:cs="Calibri"/>
          <w:sz w:val="22"/>
          <w:szCs w:val="22"/>
        </w:rPr>
        <w:t>o que representa a la salud pública la calidad del agua distribuida por los sistemas de suministro de agua para consumo humano.</w:t>
      </w:r>
    </w:p>
    <w:p w14:paraId="4F939EA8" w14:textId="77777777" w:rsidR="00546CEA" w:rsidRDefault="00546CEA">
      <w:pPr>
        <w:tabs>
          <w:tab w:val="left" w:pos="7250"/>
        </w:tabs>
        <w:jc w:val="both"/>
        <w:rPr>
          <w:rFonts w:ascii="Calibri" w:eastAsia="Calibri" w:hAnsi="Calibri" w:cs="Calibri"/>
          <w:sz w:val="22"/>
          <w:szCs w:val="22"/>
        </w:rPr>
      </w:pPr>
    </w:p>
    <w:p w14:paraId="6D3A84C5" w14:textId="77777777" w:rsidR="00546CEA" w:rsidRDefault="00CA59EB">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79046F6D" w14:textId="77777777" w:rsidR="00546CEA" w:rsidRDefault="00546CEA">
      <w:pPr>
        <w:jc w:val="center"/>
        <w:rPr>
          <w:rFonts w:ascii="Calibri" w:eastAsia="Calibri" w:hAnsi="Calibri" w:cs="Calibri"/>
          <w:color w:val="000000"/>
          <w:sz w:val="22"/>
          <w:szCs w:val="22"/>
        </w:rPr>
      </w:pPr>
    </w:p>
    <w:p w14:paraId="3A339E29" w14:textId="77777777" w:rsidR="00546CEA" w:rsidRDefault="00CA59EB">
      <w:pPr>
        <w:jc w:val="center"/>
        <w:rPr>
          <w:rFonts w:ascii="Calibri" w:eastAsia="Calibri" w:hAnsi="Calibri" w:cs="Calibri"/>
          <w:b/>
          <w:sz w:val="22"/>
          <w:szCs w:val="22"/>
        </w:rPr>
      </w:pPr>
      <w:r>
        <w:rPr>
          <w:rFonts w:ascii="Calibri" w:eastAsia="Calibri" w:hAnsi="Calibri" w:cs="Calibri"/>
          <w:b/>
          <w:sz w:val="22"/>
          <w:szCs w:val="22"/>
        </w:rPr>
        <w:t>RESUELVE</w:t>
      </w:r>
    </w:p>
    <w:p w14:paraId="69476495" w14:textId="77777777" w:rsidR="00546CEA" w:rsidRDefault="00546CEA">
      <w:pPr>
        <w:jc w:val="center"/>
        <w:rPr>
          <w:rFonts w:ascii="Calibri" w:eastAsia="Calibri" w:hAnsi="Calibri" w:cs="Calibri"/>
          <w:b/>
          <w:sz w:val="22"/>
          <w:szCs w:val="22"/>
        </w:rPr>
      </w:pPr>
    </w:p>
    <w:p w14:paraId="72EA9239" w14:textId="77777777" w:rsidR="00546CEA" w:rsidRDefault="00CA59EB">
      <w:pPr>
        <w:jc w:val="both"/>
        <w:rPr>
          <w:rFonts w:ascii="Calibri" w:eastAsia="Calibri" w:hAnsi="Calibri" w:cs="Calibri"/>
          <w:sz w:val="22"/>
          <w:szCs w:val="22"/>
        </w:rPr>
      </w:pPr>
      <w:r>
        <w:rPr>
          <w:rFonts w:ascii="Calibri" w:eastAsia="Calibri" w:hAnsi="Calibri" w:cs="Calibri"/>
          <w:b/>
          <w:sz w:val="22"/>
          <w:szCs w:val="22"/>
        </w:rPr>
        <w:t>ARTÍCULO PRIMERO</w:t>
      </w:r>
      <w:r>
        <w:rPr>
          <w:rFonts w:ascii="Calibri" w:eastAsia="Calibri" w:hAnsi="Calibri" w:cs="Calibri"/>
          <w:sz w:val="22"/>
          <w:szCs w:val="22"/>
        </w:rPr>
        <w:t xml:space="preserve">: </w:t>
      </w:r>
      <w:r>
        <w:rPr>
          <w:rFonts w:ascii="Calibri" w:eastAsia="Calibri" w:hAnsi="Calibri" w:cs="Calibri"/>
          <w:b/>
          <w:sz w:val="22"/>
          <w:szCs w:val="22"/>
        </w:rPr>
        <w:t>ADOPTAR EL MAPA DE RIESGO DE LA CALIDAD DEL AGUA PARA EL CONSUMO HUMANO</w:t>
      </w:r>
      <w:r>
        <w:rPr>
          <w:rFonts w:ascii="Calibri" w:eastAsia="Calibri" w:hAnsi="Calibri" w:cs="Calibri"/>
          <w:sz w:val="22"/>
          <w:szCs w:val="22"/>
        </w:rPr>
        <w:t xml:space="preserve"> del sistema de abastecimiento de </w:t>
      </w:r>
      <w:r>
        <w:rPr>
          <w:rFonts w:ascii="Calibri" w:eastAsia="Calibri" w:hAnsi="Calibri" w:cs="Calibri"/>
          <w:b/>
          <w:sz w:val="22"/>
          <w:szCs w:val="22"/>
        </w:rPr>
        <w:t>JUNTA ADMINISTRADORA ACUEDUCTO AMOLADORA BAJA</w:t>
      </w:r>
      <w:r>
        <w:rPr>
          <w:rFonts w:ascii="Calibri" w:eastAsia="Calibri" w:hAnsi="Calibri" w:cs="Calibri"/>
          <w:sz w:val="22"/>
          <w:szCs w:val="22"/>
        </w:rPr>
        <w:t xml:space="preserve">, con </w:t>
      </w:r>
      <w:proofErr w:type="spellStart"/>
      <w:r>
        <w:rPr>
          <w:rFonts w:ascii="Calibri" w:eastAsia="Calibri" w:hAnsi="Calibri" w:cs="Calibri"/>
          <w:sz w:val="22"/>
          <w:szCs w:val="22"/>
        </w:rPr>
        <w:t>Nit</w:t>
      </w:r>
      <w:proofErr w:type="spellEnd"/>
      <w:r>
        <w:rPr>
          <w:rFonts w:ascii="Calibri" w:eastAsia="Calibri" w:hAnsi="Calibri" w:cs="Calibri"/>
          <w:sz w:val="22"/>
          <w:szCs w:val="22"/>
        </w:rPr>
        <w:t xml:space="preserve"> </w:t>
      </w:r>
      <w:r>
        <w:rPr>
          <w:rFonts w:ascii="Calibri" w:eastAsia="Calibri" w:hAnsi="Calibri" w:cs="Calibri"/>
          <w:sz w:val="22"/>
          <w:szCs w:val="22"/>
          <w:highlight w:val="white"/>
        </w:rPr>
        <w:t xml:space="preserve">816.004.683-1 </w:t>
      </w:r>
      <w:r>
        <w:rPr>
          <w:rFonts w:ascii="Calibri" w:eastAsia="Calibri" w:hAnsi="Calibri" w:cs="Calibri"/>
          <w:sz w:val="22"/>
          <w:szCs w:val="22"/>
        </w:rPr>
        <w:t xml:space="preserve">cuyo representante legal es el señor (a), </w:t>
      </w:r>
      <w:r>
        <w:rPr>
          <w:rFonts w:ascii="Calibri" w:eastAsia="Calibri" w:hAnsi="Calibri" w:cs="Calibri"/>
          <w:b/>
          <w:sz w:val="22"/>
          <w:szCs w:val="22"/>
          <w:highlight w:val="white"/>
        </w:rPr>
        <w:t>DIOMEDES LÓPEZ.</w:t>
      </w:r>
    </w:p>
    <w:p w14:paraId="2BF89CB4" w14:textId="77777777" w:rsidR="00546CEA" w:rsidRDefault="00546CEA">
      <w:pPr>
        <w:jc w:val="both"/>
        <w:rPr>
          <w:rFonts w:ascii="Calibri" w:eastAsia="Calibri" w:hAnsi="Calibri" w:cs="Calibri"/>
          <w:b/>
          <w:sz w:val="22"/>
          <w:szCs w:val="22"/>
        </w:rPr>
      </w:pPr>
    </w:p>
    <w:p w14:paraId="7BA072F0" w14:textId="77777777" w:rsidR="00546CEA" w:rsidRDefault="00CA59EB">
      <w:pP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xml:space="preserve">: Hacen parte </w:t>
      </w:r>
      <w:r>
        <w:rPr>
          <w:rFonts w:ascii="Calibri" w:eastAsia="Calibri" w:hAnsi="Calibri" w:cs="Calibri"/>
          <w:sz w:val="22"/>
          <w:szCs w:val="22"/>
        </w:rPr>
        <w:t>integral de la presente resolución el Anexo Técnico I características físicas, químicas y microbiológicas de la Calidad del Agua abastecedora de los sistemas de suministro ya identificados, Información Primaria, Inspección Ocular o actas de visita, Informe</w:t>
      </w:r>
      <w:r>
        <w:rPr>
          <w:rFonts w:ascii="Calibri" w:eastAsia="Calibri" w:hAnsi="Calibri" w:cs="Calibri"/>
          <w:sz w:val="22"/>
          <w:szCs w:val="22"/>
        </w:rPr>
        <w:t xml:space="preserve"> Técnico, Comunicación, Anexo Técnico II que es el Mapa de Riesgo.</w:t>
      </w:r>
    </w:p>
    <w:p w14:paraId="55666150" w14:textId="77777777" w:rsidR="00546CEA" w:rsidRDefault="00546CEA">
      <w:pPr>
        <w:jc w:val="both"/>
        <w:rPr>
          <w:rFonts w:ascii="Calibri" w:eastAsia="Calibri" w:hAnsi="Calibri" w:cs="Calibri"/>
          <w:b/>
          <w:sz w:val="22"/>
          <w:szCs w:val="22"/>
        </w:rPr>
      </w:pPr>
    </w:p>
    <w:p w14:paraId="53B02B47" w14:textId="77777777" w:rsidR="00546CEA" w:rsidRDefault="00CA59EB">
      <w:pPr>
        <w:jc w:val="both"/>
        <w:rPr>
          <w:rFonts w:ascii="Calibri" w:eastAsia="Calibri" w:hAnsi="Calibri" w:cs="Calibri"/>
          <w:sz w:val="22"/>
          <w:szCs w:val="22"/>
        </w:rPr>
      </w:pPr>
      <w:r>
        <w:rPr>
          <w:rFonts w:ascii="Calibri" w:eastAsia="Calibri" w:hAnsi="Calibri" w:cs="Calibri"/>
          <w:b/>
          <w:sz w:val="22"/>
          <w:szCs w:val="22"/>
        </w:rPr>
        <w:t>ARTICULO SEGUNDO</w:t>
      </w:r>
      <w:r>
        <w:rPr>
          <w:rFonts w:ascii="Calibri" w:eastAsia="Calibri" w:hAnsi="Calibri" w:cs="Calibri"/>
          <w:sz w:val="22"/>
          <w:szCs w:val="22"/>
        </w:rPr>
        <w:t>: Ordénese a las personas responsables de los sistemas de suministro de agua para consumo humano, realizar los análisis al agua en red de distribución por un laboratorio ac</w:t>
      </w:r>
      <w:r>
        <w:rPr>
          <w:rFonts w:ascii="Calibri" w:eastAsia="Calibri" w:hAnsi="Calibri" w:cs="Calibri"/>
          <w:sz w:val="22"/>
          <w:szCs w:val="22"/>
        </w:rPr>
        <w:t xml:space="preserve">reditado por el Ministerio de Salud y Protección Social y allegar los resultados antes del primer trimestre del año 2022 a esta Autoridad Sanitaria para su evolución, consolidación y actualización de Mapa de Riesgos de Agua para el Consumo Humano. </w:t>
      </w:r>
    </w:p>
    <w:p w14:paraId="28792E3E" w14:textId="77777777" w:rsidR="00546CEA" w:rsidRDefault="00546CEA">
      <w:pPr>
        <w:jc w:val="both"/>
        <w:rPr>
          <w:rFonts w:ascii="Arial" w:eastAsia="Arial" w:hAnsi="Arial" w:cs="Arial"/>
          <w:sz w:val="24"/>
          <w:szCs w:val="24"/>
        </w:rPr>
      </w:pPr>
    </w:p>
    <w:tbl>
      <w:tblPr>
        <w:tblStyle w:val="a0"/>
        <w:tblW w:w="95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645"/>
        <w:gridCol w:w="1440"/>
        <w:gridCol w:w="1700"/>
        <w:gridCol w:w="1416"/>
        <w:gridCol w:w="1559"/>
        <w:gridCol w:w="2012"/>
      </w:tblGrid>
      <w:tr w:rsidR="00546CEA" w14:paraId="4890D660" w14:textId="77777777">
        <w:trPr>
          <w:trHeight w:val="480"/>
          <w:jc w:val="center"/>
        </w:trPr>
        <w:tc>
          <w:tcPr>
            <w:tcW w:w="9522" w:type="dxa"/>
            <w:gridSpan w:val="7"/>
            <w:vAlign w:val="center"/>
          </w:tcPr>
          <w:p w14:paraId="4BEFC622" w14:textId="77777777" w:rsidR="00546CEA" w:rsidRDefault="00CA59EB">
            <w:pPr>
              <w:spacing w:line="259" w:lineRule="auto"/>
              <w:jc w:val="center"/>
              <w:rPr>
                <w:rFonts w:ascii="Arial" w:eastAsia="Arial" w:hAnsi="Arial" w:cs="Arial"/>
                <w:b/>
                <w:sz w:val="16"/>
                <w:szCs w:val="16"/>
              </w:rPr>
            </w:pPr>
            <w:r>
              <w:rPr>
                <w:rFonts w:ascii="Arial" w:eastAsia="Arial" w:hAnsi="Arial" w:cs="Arial"/>
                <w:b/>
                <w:sz w:val="16"/>
                <w:szCs w:val="16"/>
              </w:rPr>
              <w:t>Persona Prestadora de Acueducto: ASOCIACIÓN DE USUARIOS ACUEDUCTO AMOLADORA BAJA – EL EDÉN</w:t>
            </w:r>
          </w:p>
        </w:tc>
      </w:tr>
      <w:tr w:rsidR="00546CEA" w14:paraId="08900948" w14:textId="77777777">
        <w:trPr>
          <w:trHeight w:val="300"/>
          <w:jc w:val="center"/>
        </w:trPr>
        <w:tc>
          <w:tcPr>
            <w:tcW w:w="750" w:type="dxa"/>
            <w:vMerge w:val="restart"/>
            <w:vAlign w:val="center"/>
          </w:tcPr>
          <w:p w14:paraId="777CFA69" w14:textId="77777777" w:rsidR="00546CEA" w:rsidRDefault="00CA59EB">
            <w:pPr>
              <w:ind w:left="113" w:right="113"/>
              <w:jc w:val="center"/>
              <w:rPr>
                <w:rFonts w:ascii="Arial" w:eastAsia="Arial" w:hAnsi="Arial" w:cs="Arial"/>
                <w:b/>
                <w:sz w:val="16"/>
                <w:szCs w:val="16"/>
              </w:rPr>
            </w:pPr>
            <w:r>
              <w:rPr>
                <w:rFonts w:ascii="Arial" w:eastAsia="Arial" w:hAnsi="Arial" w:cs="Arial"/>
                <w:b/>
                <w:sz w:val="16"/>
                <w:szCs w:val="16"/>
              </w:rPr>
              <w:t>AFLUENTE</w:t>
            </w:r>
          </w:p>
        </w:tc>
        <w:tc>
          <w:tcPr>
            <w:tcW w:w="645" w:type="dxa"/>
            <w:vMerge w:val="restart"/>
            <w:vAlign w:val="center"/>
          </w:tcPr>
          <w:p w14:paraId="109F90AC" w14:textId="77777777" w:rsidR="00546CEA" w:rsidRDefault="00CA59EB">
            <w:pPr>
              <w:ind w:left="113" w:right="113"/>
              <w:jc w:val="center"/>
              <w:rPr>
                <w:rFonts w:ascii="Arial" w:eastAsia="Arial" w:hAnsi="Arial" w:cs="Arial"/>
                <w:b/>
                <w:sz w:val="16"/>
                <w:szCs w:val="16"/>
              </w:rPr>
            </w:pPr>
            <w:r>
              <w:rPr>
                <w:rFonts w:ascii="Arial" w:eastAsia="Arial" w:hAnsi="Arial" w:cs="Arial"/>
                <w:b/>
                <w:sz w:val="16"/>
                <w:szCs w:val="16"/>
              </w:rPr>
              <w:t>BOCATOMA</w:t>
            </w:r>
          </w:p>
        </w:tc>
        <w:tc>
          <w:tcPr>
            <w:tcW w:w="1440" w:type="dxa"/>
            <w:vMerge w:val="restart"/>
            <w:vAlign w:val="center"/>
          </w:tcPr>
          <w:p w14:paraId="547DDA25" w14:textId="77777777" w:rsidR="00546CEA" w:rsidRDefault="00CA59EB">
            <w:pPr>
              <w:jc w:val="center"/>
              <w:rPr>
                <w:rFonts w:ascii="Arial" w:eastAsia="Arial" w:hAnsi="Arial" w:cs="Arial"/>
                <w:b/>
                <w:sz w:val="16"/>
                <w:szCs w:val="16"/>
              </w:rPr>
            </w:pPr>
            <w:r>
              <w:rPr>
                <w:rFonts w:ascii="Arial" w:eastAsia="Arial" w:hAnsi="Arial" w:cs="Arial"/>
                <w:b/>
                <w:sz w:val="16"/>
                <w:szCs w:val="16"/>
              </w:rPr>
              <w:t>USO DEL SUELO</w:t>
            </w:r>
          </w:p>
        </w:tc>
        <w:tc>
          <w:tcPr>
            <w:tcW w:w="1700" w:type="dxa"/>
            <w:vMerge w:val="restart"/>
            <w:vAlign w:val="center"/>
          </w:tcPr>
          <w:p w14:paraId="7B26981A" w14:textId="77777777" w:rsidR="00546CEA" w:rsidRDefault="00CA59EB">
            <w:pPr>
              <w:jc w:val="center"/>
              <w:rPr>
                <w:rFonts w:ascii="Arial" w:eastAsia="Arial" w:hAnsi="Arial" w:cs="Arial"/>
                <w:b/>
                <w:sz w:val="16"/>
                <w:szCs w:val="16"/>
              </w:rPr>
            </w:pPr>
            <w:r>
              <w:rPr>
                <w:rFonts w:ascii="Arial" w:eastAsia="Arial" w:hAnsi="Arial" w:cs="Arial"/>
                <w:b/>
                <w:sz w:val="16"/>
                <w:szCs w:val="16"/>
              </w:rPr>
              <w:t>ACTIVIDAD CONTAMINANTE DE LA FUENTE ABASTECEDORA DEL ACUEDUCTO</w:t>
            </w:r>
          </w:p>
        </w:tc>
        <w:tc>
          <w:tcPr>
            <w:tcW w:w="4987" w:type="dxa"/>
            <w:gridSpan w:val="3"/>
            <w:vAlign w:val="center"/>
          </w:tcPr>
          <w:p w14:paraId="12A61569" w14:textId="77777777" w:rsidR="00546CEA" w:rsidRDefault="00CA59EB">
            <w:pPr>
              <w:jc w:val="center"/>
              <w:rPr>
                <w:rFonts w:ascii="Arial" w:eastAsia="Arial" w:hAnsi="Arial" w:cs="Arial"/>
                <w:b/>
                <w:sz w:val="16"/>
                <w:szCs w:val="16"/>
              </w:rPr>
            </w:pPr>
            <w:r>
              <w:rPr>
                <w:rFonts w:ascii="Arial" w:eastAsia="Arial" w:hAnsi="Arial" w:cs="Arial"/>
                <w:b/>
                <w:sz w:val="16"/>
                <w:szCs w:val="16"/>
              </w:rPr>
              <w:t>CARACTERISTICAS FISICAS, QUIMICAS Y MICROBIOLOGICAS PREVIAS</w:t>
            </w:r>
          </w:p>
        </w:tc>
      </w:tr>
      <w:tr w:rsidR="00546CEA" w14:paraId="16AEB870" w14:textId="77777777">
        <w:trPr>
          <w:trHeight w:val="1004"/>
          <w:jc w:val="center"/>
        </w:trPr>
        <w:tc>
          <w:tcPr>
            <w:tcW w:w="750" w:type="dxa"/>
            <w:vMerge/>
            <w:vAlign w:val="center"/>
          </w:tcPr>
          <w:p w14:paraId="18C0C21C" w14:textId="77777777" w:rsidR="00546CEA" w:rsidRDefault="00546CEA">
            <w:pPr>
              <w:widowControl w:val="0"/>
              <w:spacing w:line="276" w:lineRule="auto"/>
              <w:rPr>
                <w:rFonts w:ascii="Arial" w:eastAsia="Arial" w:hAnsi="Arial" w:cs="Arial"/>
                <w:sz w:val="18"/>
                <w:szCs w:val="18"/>
              </w:rPr>
            </w:pPr>
          </w:p>
        </w:tc>
        <w:tc>
          <w:tcPr>
            <w:tcW w:w="645" w:type="dxa"/>
            <w:vMerge/>
            <w:vAlign w:val="center"/>
          </w:tcPr>
          <w:p w14:paraId="35E3736E" w14:textId="77777777" w:rsidR="00546CEA" w:rsidRDefault="00546CEA">
            <w:pPr>
              <w:widowControl w:val="0"/>
              <w:spacing w:line="276" w:lineRule="auto"/>
              <w:rPr>
                <w:rFonts w:ascii="Arial" w:eastAsia="Arial" w:hAnsi="Arial" w:cs="Arial"/>
                <w:sz w:val="18"/>
                <w:szCs w:val="18"/>
              </w:rPr>
            </w:pPr>
          </w:p>
        </w:tc>
        <w:tc>
          <w:tcPr>
            <w:tcW w:w="1440" w:type="dxa"/>
            <w:vMerge/>
            <w:vAlign w:val="center"/>
          </w:tcPr>
          <w:p w14:paraId="71D012D5" w14:textId="77777777" w:rsidR="00546CEA" w:rsidRDefault="00546CEA">
            <w:pPr>
              <w:widowControl w:val="0"/>
              <w:spacing w:line="276" w:lineRule="auto"/>
              <w:rPr>
                <w:rFonts w:ascii="Arial" w:eastAsia="Arial" w:hAnsi="Arial" w:cs="Arial"/>
                <w:sz w:val="18"/>
                <w:szCs w:val="18"/>
              </w:rPr>
            </w:pPr>
          </w:p>
        </w:tc>
        <w:tc>
          <w:tcPr>
            <w:tcW w:w="1700" w:type="dxa"/>
            <w:vMerge/>
            <w:vAlign w:val="center"/>
          </w:tcPr>
          <w:p w14:paraId="566F6758" w14:textId="77777777" w:rsidR="00546CEA" w:rsidRDefault="00546CEA">
            <w:pPr>
              <w:widowControl w:val="0"/>
              <w:spacing w:line="276" w:lineRule="auto"/>
              <w:rPr>
                <w:rFonts w:ascii="Arial" w:eastAsia="Arial" w:hAnsi="Arial" w:cs="Arial"/>
                <w:sz w:val="18"/>
                <w:szCs w:val="18"/>
              </w:rPr>
            </w:pPr>
          </w:p>
        </w:tc>
        <w:tc>
          <w:tcPr>
            <w:tcW w:w="1416" w:type="dxa"/>
            <w:vAlign w:val="center"/>
          </w:tcPr>
          <w:p w14:paraId="0ADC7F73" w14:textId="77777777" w:rsidR="00546CEA" w:rsidRDefault="00CA59EB">
            <w:pPr>
              <w:jc w:val="center"/>
              <w:rPr>
                <w:rFonts w:ascii="Arial" w:eastAsia="Arial" w:hAnsi="Arial" w:cs="Arial"/>
                <w:b/>
                <w:sz w:val="16"/>
                <w:szCs w:val="16"/>
              </w:rPr>
            </w:pPr>
            <w:r>
              <w:rPr>
                <w:rFonts w:ascii="Arial" w:eastAsia="Arial" w:hAnsi="Arial" w:cs="Arial"/>
                <w:b/>
                <w:sz w:val="16"/>
                <w:szCs w:val="16"/>
              </w:rPr>
              <w:t>FÍSICAS</w:t>
            </w:r>
          </w:p>
        </w:tc>
        <w:tc>
          <w:tcPr>
            <w:tcW w:w="1559" w:type="dxa"/>
            <w:vAlign w:val="center"/>
          </w:tcPr>
          <w:p w14:paraId="48122882" w14:textId="77777777" w:rsidR="00546CEA" w:rsidRDefault="00CA59EB">
            <w:pPr>
              <w:jc w:val="center"/>
              <w:rPr>
                <w:rFonts w:ascii="Arial" w:eastAsia="Arial" w:hAnsi="Arial" w:cs="Arial"/>
                <w:b/>
                <w:sz w:val="16"/>
                <w:szCs w:val="16"/>
              </w:rPr>
            </w:pPr>
            <w:r>
              <w:rPr>
                <w:rFonts w:ascii="Arial" w:eastAsia="Arial" w:hAnsi="Arial" w:cs="Arial"/>
                <w:b/>
                <w:sz w:val="16"/>
                <w:szCs w:val="16"/>
              </w:rPr>
              <w:t>QUÍMICAS</w:t>
            </w:r>
          </w:p>
        </w:tc>
        <w:tc>
          <w:tcPr>
            <w:tcW w:w="2012" w:type="dxa"/>
            <w:vAlign w:val="center"/>
          </w:tcPr>
          <w:p w14:paraId="7BA8D2DF" w14:textId="77777777" w:rsidR="00546CEA" w:rsidRDefault="00CA59EB">
            <w:pPr>
              <w:jc w:val="center"/>
              <w:rPr>
                <w:rFonts w:ascii="Arial" w:eastAsia="Arial" w:hAnsi="Arial" w:cs="Arial"/>
                <w:b/>
                <w:sz w:val="16"/>
                <w:szCs w:val="16"/>
              </w:rPr>
            </w:pPr>
            <w:r>
              <w:rPr>
                <w:rFonts w:ascii="Arial" w:eastAsia="Arial" w:hAnsi="Arial" w:cs="Arial"/>
                <w:b/>
                <w:sz w:val="16"/>
                <w:szCs w:val="16"/>
              </w:rPr>
              <w:t>MICROBIOLÓGICAS</w:t>
            </w:r>
          </w:p>
        </w:tc>
      </w:tr>
      <w:tr w:rsidR="00546CEA" w14:paraId="784B059C" w14:textId="77777777">
        <w:trPr>
          <w:trHeight w:val="693"/>
          <w:jc w:val="center"/>
        </w:trPr>
        <w:tc>
          <w:tcPr>
            <w:tcW w:w="750" w:type="dxa"/>
            <w:vMerge w:val="restart"/>
            <w:vAlign w:val="center"/>
          </w:tcPr>
          <w:p w14:paraId="47E66B3E" w14:textId="77777777" w:rsidR="00546CEA" w:rsidRDefault="00CA59EB">
            <w:pPr>
              <w:spacing w:after="160" w:line="259" w:lineRule="auto"/>
              <w:ind w:left="113" w:right="113"/>
              <w:jc w:val="center"/>
              <w:rPr>
                <w:rFonts w:ascii="Arial" w:eastAsia="Arial" w:hAnsi="Arial" w:cs="Arial"/>
                <w:b/>
                <w:sz w:val="16"/>
                <w:szCs w:val="16"/>
              </w:rPr>
            </w:pPr>
            <w:r>
              <w:rPr>
                <w:rFonts w:ascii="Arial" w:eastAsia="Arial" w:hAnsi="Arial" w:cs="Arial"/>
                <w:b/>
                <w:sz w:val="16"/>
                <w:szCs w:val="16"/>
              </w:rPr>
              <w:t>Q. Minas del Socorro</w:t>
            </w:r>
          </w:p>
        </w:tc>
        <w:tc>
          <w:tcPr>
            <w:tcW w:w="645" w:type="dxa"/>
            <w:vMerge w:val="restart"/>
            <w:vAlign w:val="center"/>
          </w:tcPr>
          <w:p w14:paraId="6DACF918" w14:textId="77777777" w:rsidR="00546CEA" w:rsidRDefault="00CA59EB">
            <w:pPr>
              <w:spacing w:after="160" w:line="259" w:lineRule="auto"/>
              <w:ind w:left="113" w:right="113"/>
              <w:jc w:val="center"/>
              <w:rPr>
                <w:rFonts w:ascii="Arial" w:eastAsia="Arial" w:hAnsi="Arial" w:cs="Arial"/>
                <w:b/>
                <w:sz w:val="16"/>
                <w:szCs w:val="16"/>
              </w:rPr>
            </w:pPr>
            <w:r>
              <w:rPr>
                <w:rFonts w:ascii="Arial" w:eastAsia="Arial" w:hAnsi="Arial" w:cs="Arial"/>
                <w:b/>
                <w:sz w:val="16"/>
                <w:szCs w:val="16"/>
              </w:rPr>
              <w:t>No. 1</w:t>
            </w:r>
          </w:p>
        </w:tc>
        <w:tc>
          <w:tcPr>
            <w:tcW w:w="1440" w:type="dxa"/>
            <w:vAlign w:val="center"/>
          </w:tcPr>
          <w:p w14:paraId="1FDD0A2D"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USO PECUARIO</w:t>
            </w:r>
          </w:p>
        </w:tc>
        <w:tc>
          <w:tcPr>
            <w:tcW w:w="1700" w:type="dxa"/>
            <w:vAlign w:val="center"/>
          </w:tcPr>
          <w:p w14:paraId="7DDC2EF2"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Ganadería</w:t>
            </w:r>
          </w:p>
        </w:tc>
        <w:tc>
          <w:tcPr>
            <w:tcW w:w="1416" w:type="dxa"/>
            <w:vAlign w:val="center"/>
          </w:tcPr>
          <w:p w14:paraId="0301E883"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Ninguno</w:t>
            </w:r>
          </w:p>
        </w:tc>
        <w:tc>
          <w:tcPr>
            <w:tcW w:w="1559" w:type="dxa"/>
            <w:vAlign w:val="center"/>
          </w:tcPr>
          <w:p w14:paraId="7B41A0F5"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 xml:space="preserve"> Nitratos</w:t>
            </w:r>
          </w:p>
        </w:tc>
        <w:tc>
          <w:tcPr>
            <w:tcW w:w="2012" w:type="dxa"/>
            <w:vAlign w:val="center"/>
          </w:tcPr>
          <w:p w14:paraId="1FC8E021" w14:textId="77777777" w:rsidR="00546CEA" w:rsidRDefault="00CA59EB">
            <w:pPr>
              <w:spacing w:line="259" w:lineRule="auto"/>
              <w:jc w:val="center"/>
              <w:rPr>
                <w:rFonts w:ascii="Arial" w:eastAsia="Arial" w:hAnsi="Arial" w:cs="Arial"/>
                <w:sz w:val="16"/>
                <w:szCs w:val="16"/>
              </w:rPr>
            </w:pPr>
            <w:r>
              <w:rPr>
                <w:rFonts w:ascii="Arial" w:eastAsia="Arial" w:hAnsi="Arial" w:cs="Arial"/>
                <w:sz w:val="16"/>
                <w:szCs w:val="16"/>
              </w:rPr>
              <w:t>Coliformes totales, fecales</w:t>
            </w:r>
          </w:p>
        </w:tc>
      </w:tr>
      <w:tr w:rsidR="00546CEA" w14:paraId="30F58223" w14:textId="77777777">
        <w:trPr>
          <w:trHeight w:val="1128"/>
          <w:jc w:val="center"/>
        </w:trPr>
        <w:tc>
          <w:tcPr>
            <w:tcW w:w="750" w:type="dxa"/>
            <w:vMerge/>
            <w:vAlign w:val="center"/>
          </w:tcPr>
          <w:p w14:paraId="712337A4" w14:textId="77777777" w:rsidR="00546CEA" w:rsidRDefault="00546CEA">
            <w:pPr>
              <w:widowControl w:val="0"/>
              <w:spacing w:line="276" w:lineRule="auto"/>
              <w:rPr>
                <w:rFonts w:ascii="Arial" w:eastAsia="Arial" w:hAnsi="Arial" w:cs="Arial"/>
                <w:sz w:val="18"/>
                <w:szCs w:val="18"/>
              </w:rPr>
            </w:pPr>
          </w:p>
        </w:tc>
        <w:tc>
          <w:tcPr>
            <w:tcW w:w="645" w:type="dxa"/>
            <w:vMerge/>
            <w:vAlign w:val="center"/>
          </w:tcPr>
          <w:p w14:paraId="6F1A8616" w14:textId="77777777" w:rsidR="00546CEA" w:rsidRDefault="00546CEA">
            <w:pPr>
              <w:widowControl w:val="0"/>
              <w:spacing w:line="276" w:lineRule="auto"/>
              <w:rPr>
                <w:rFonts w:ascii="Arial" w:eastAsia="Arial" w:hAnsi="Arial" w:cs="Arial"/>
                <w:sz w:val="18"/>
                <w:szCs w:val="18"/>
              </w:rPr>
            </w:pPr>
          </w:p>
        </w:tc>
        <w:tc>
          <w:tcPr>
            <w:tcW w:w="1440" w:type="dxa"/>
            <w:vAlign w:val="center"/>
          </w:tcPr>
          <w:p w14:paraId="6796EF67"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USO AGRÍCOLA</w:t>
            </w:r>
          </w:p>
        </w:tc>
        <w:tc>
          <w:tcPr>
            <w:tcW w:w="1700" w:type="dxa"/>
            <w:vAlign w:val="center"/>
          </w:tcPr>
          <w:p w14:paraId="246B3489"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Café, Plátano, transitorios</w:t>
            </w:r>
          </w:p>
        </w:tc>
        <w:tc>
          <w:tcPr>
            <w:tcW w:w="1416" w:type="dxa"/>
            <w:vAlign w:val="center"/>
          </w:tcPr>
          <w:p w14:paraId="3FCB37BF"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Ninguno</w:t>
            </w:r>
          </w:p>
        </w:tc>
        <w:tc>
          <w:tcPr>
            <w:tcW w:w="1559" w:type="dxa"/>
            <w:vAlign w:val="center"/>
          </w:tcPr>
          <w:p w14:paraId="72267B44" w14:textId="77777777" w:rsidR="00546CEA" w:rsidRDefault="00CA59EB">
            <w:pPr>
              <w:spacing w:line="259" w:lineRule="auto"/>
              <w:jc w:val="center"/>
              <w:rPr>
                <w:rFonts w:ascii="Arial" w:eastAsia="Arial" w:hAnsi="Arial" w:cs="Arial"/>
                <w:sz w:val="16"/>
                <w:szCs w:val="16"/>
              </w:rPr>
            </w:pPr>
            <w:r>
              <w:rPr>
                <w:rFonts w:ascii="Arial" w:eastAsia="Arial" w:hAnsi="Arial" w:cs="Arial"/>
                <w:sz w:val="16"/>
                <w:szCs w:val="16"/>
              </w:rPr>
              <w:br/>
              <w:t>Nitratos</w:t>
            </w:r>
            <w:r>
              <w:rPr>
                <w:rFonts w:ascii="Arial" w:eastAsia="Arial" w:hAnsi="Arial" w:cs="Arial"/>
                <w:sz w:val="16"/>
                <w:szCs w:val="16"/>
              </w:rPr>
              <w:br/>
              <w:t>Carbamatos</w:t>
            </w:r>
            <w:r>
              <w:rPr>
                <w:rFonts w:ascii="Arial" w:eastAsia="Arial" w:hAnsi="Arial" w:cs="Arial"/>
                <w:sz w:val="16"/>
                <w:szCs w:val="16"/>
              </w:rPr>
              <w:br/>
            </w:r>
            <w:proofErr w:type="spellStart"/>
            <w:r>
              <w:rPr>
                <w:rFonts w:ascii="Arial" w:eastAsia="Arial" w:hAnsi="Arial" w:cs="Arial"/>
                <w:sz w:val="16"/>
                <w:szCs w:val="16"/>
              </w:rPr>
              <w:t>Organofosfatos</w:t>
            </w:r>
            <w:proofErr w:type="spellEnd"/>
            <w:r>
              <w:rPr>
                <w:rFonts w:ascii="Arial" w:eastAsia="Arial" w:hAnsi="Arial" w:cs="Arial"/>
                <w:sz w:val="16"/>
                <w:szCs w:val="16"/>
              </w:rPr>
              <w:br/>
              <w:t>Fosfatos</w:t>
            </w:r>
          </w:p>
        </w:tc>
        <w:tc>
          <w:tcPr>
            <w:tcW w:w="2012" w:type="dxa"/>
            <w:vAlign w:val="center"/>
          </w:tcPr>
          <w:p w14:paraId="4953DA96"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Ninguno</w:t>
            </w:r>
          </w:p>
        </w:tc>
      </w:tr>
      <w:tr w:rsidR="00546CEA" w14:paraId="0C06B335" w14:textId="77777777">
        <w:trPr>
          <w:trHeight w:val="690"/>
          <w:jc w:val="center"/>
        </w:trPr>
        <w:tc>
          <w:tcPr>
            <w:tcW w:w="750" w:type="dxa"/>
            <w:vMerge/>
            <w:vAlign w:val="center"/>
          </w:tcPr>
          <w:p w14:paraId="558E43CB" w14:textId="77777777" w:rsidR="00546CEA" w:rsidRDefault="00546CEA">
            <w:pPr>
              <w:widowControl w:val="0"/>
              <w:spacing w:line="276" w:lineRule="auto"/>
              <w:rPr>
                <w:rFonts w:ascii="Arial" w:eastAsia="Arial" w:hAnsi="Arial" w:cs="Arial"/>
                <w:sz w:val="18"/>
                <w:szCs w:val="18"/>
              </w:rPr>
            </w:pPr>
          </w:p>
        </w:tc>
        <w:tc>
          <w:tcPr>
            <w:tcW w:w="645" w:type="dxa"/>
            <w:vMerge/>
            <w:vAlign w:val="center"/>
          </w:tcPr>
          <w:p w14:paraId="4DCB9CBC" w14:textId="77777777" w:rsidR="00546CEA" w:rsidRDefault="00546CEA">
            <w:pPr>
              <w:widowControl w:val="0"/>
              <w:spacing w:line="276" w:lineRule="auto"/>
              <w:rPr>
                <w:rFonts w:ascii="Arial" w:eastAsia="Arial" w:hAnsi="Arial" w:cs="Arial"/>
                <w:sz w:val="18"/>
                <w:szCs w:val="18"/>
              </w:rPr>
            </w:pPr>
          </w:p>
        </w:tc>
        <w:tc>
          <w:tcPr>
            <w:tcW w:w="1440" w:type="dxa"/>
            <w:vAlign w:val="center"/>
          </w:tcPr>
          <w:p w14:paraId="1748B7E8"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ASENTAMIENTOS HUMANOS</w:t>
            </w:r>
          </w:p>
        </w:tc>
        <w:tc>
          <w:tcPr>
            <w:tcW w:w="1700" w:type="dxa"/>
            <w:vAlign w:val="center"/>
          </w:tcPr>
          <w:p w14:paraId="5BC4106D"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Vivienda</w:t>
            </w:r>
          </w:p>
        </w:tc>
        <w:tc>
          <w:tcPr>
            <w:tcW w:w="1416" w:type="dxa"/>
            <w:vAlign w:val="center"/>
          </w:tcPr>
          <w:p w14:paraId="0BB71AF0"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Ninguno</w:t>
            </w:r>
          </w:p>
        </w:tc>
        <w:tc>
          <w:tcPr>
            <w:tcW w:w="1559" w:type="dxa"/>
            <w:vAlign w:val="center"/>
          </w:tcPr>
          <w:p w14:paraId="0A912DE6" w14:textId="77777777" w:rsidR="00546CEA" w:rsidRDefault="00CA59EB">
            <w:pPr>
              <w:spacing w:after="160" w:line="259" w:lineRule="auto"/>
              <w:jc w:val="center"/>
              <w:rPr>
                <w:rFonts w:ascii="Arial" w:eastAsia="Arial" w:hAnsi="Arial" w:cs="Arial"/>
                <w:sz w:val="16"/>
                <w:szCs w:val="16"/>
              </w:rPr>
            </w:pPr>
            <w:r>
              <w:rPr>
                <w:rFonts w:ascii="Arial" w:eastAsia="Arial" w:hAnsi="Arial" w:cs="Arial"/>
                <w:sz w:val="16"/>
                <w:szCs w:val="16"/>
              </w:rPr>
              <w:t>Ninguno</w:t>
            </w:r>
          </w:p>
        </w:tc>
        <w:tc>
          <w:tcPr>
            <w:tcW w:w="2012" w:type="dxa"/>
            <w:vAlign w:val="center"/>
          </w:tcPr>
          <w:p w14:paraId="7E9A99AE" w14:textId="77777777" w:rsidR="00546CEA" w:rsidRDefault="00CA59EB">
            <w:pPr>
              <w:spacing w:line="259" w:lineRule="auto"/>
              <w:jc w:val="center"/>
              <w:rPr>
                <w:rFonts w:ascii="Arial" w:eastAsia="Arial" w:hAnsi="Arial" w:cs="Arial"/>
                <w:sz w:val="16"/>
                <w:szCs w:val="16"/>
              </w:rPr>
            </w:pPr>
            <w:r>
              <w:rPr>
                <w:rFonts w:ascii="Arial" w:eastAsia="Arial" w:hAnsi="Arial" w:cs="Arial"/>
                <w:sz w:val="16"/>
                <w:szCs w:val="16"/>
              </w:rPr>
              <w:t>Coliformes totales, fecales y *</w:t>
            </w:r>
            <w:proofErr w:type="spellStart"/>
            <w:r>
              <w:rPr>
                <w:rFonts w:ascii="Arial" w:eastAsia="Arial" w:hAnsi="Arial" w:cs="Arial"/>
                <w:sz w:val="16"/>
                <w:szCs w:val="16"/>
              </w:rPr>
              <w:t>Giardia</w:t>
            </w:r>
            <w:proofErr w:type="spellEnd"/>
            <w:r>
              <w:rPr>
                <w:rFonts w:ascii="Arial" w:eastAsia="Arial" w:hAnsi="Arial" w:cs="Arial"/>
                <w:sz w:val="16"/>
                <w:szCs w:val="16"/>
              </w:rPr>
              <w:t xml:space="preserve"> y </w:t>
            </w:r>
            <w:proofErr w:type="spellStart"/>
            <w:r>
              <w:rPr>
                <w:rFonts w:ascii="Arial" w:eastAsia="Arial" w:hAnsi="Arial" w:cs="Arial"/>
                <w:sz w:val="16"/>
                <w:szCs w:val="16"/>
              </w:rPr>
              <w:t>Cryptosporidium</w:t>
            </w:r>
            <w:proofErr w:type="spellEnd"/>
          </w:p>
        </w:tc>
      </w:tr>
    </w:tbl>
    <w:p w14:paraId="7815A9A1" w14:textId="77777777" w:rsidR="00546CEA" w:rsidRDefault="00546CEA">
      <w:pPr>
        <w:jc w:val="both"/>
        <w:rPr>
          <w:rFonts w:ascii="Calibri" w:eastAsia="Calibri" w:hAnsi="Calibri" w:cs="Calibri"/>
          <w:b/>
          <w:sz w:val="22"/>
          <w:szCs w:val="22"/>
        </w:rPr>
      </w:pPr>
    </w:p>
    <w:p w14:paraId="72197A39" w14:textId="77777777" w:rsidR="00546CEA" w:rsidRDefault="00546CEA">
      <w:pPr>
        <w:jc w:val="both"/>
        <w:rPr>
          <w:rFonts w:ascii="Calibri" w:eastAsia="Calibri" w:hAnsi="Calibri" w:cs="Calibri"/>
          <w:b/>
          <w:sz w:val="22"/>
          <w:szCs w:val="22"/>
        </w:rPr>
      </w:pPr>
    </w:p>
    <w:p w14:paraId="5672DCE9" w14:textId="77777777" w:rsidR="00546CEA" w:rsidRDefault="00CA59EB">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w:t>
      </w:r>
      <w:r>
        <w:rPr>
          <w:rFonts w:ascii="Calibri" w:eastAsia="Calibri" w:hAnsi="Calibri" w:cs="Calibri"/>
          <w:sz w:val="22"/>
          <w:szCs w:val="22"/>
        </w:rPr>
        <w:t>ratamiento y red de distribución de agua para el consumo humano, conforme al artículo 6 de la Resolución 4716 de 2010.</w:t>
      </w:r>
    </w:p>
    <w:p w14:paraId="0F91A865" w14:textId="77777777" w:rsidR="00546CEA" w:rsidRDefault="00546CEA">
      <w:pPr>
        <w:jc w:val="both"/>
        <w:rPr>
          <w:rFonts w:ascii="Calibri" w:eastAsia="Calibri" w:hAnsi="Calibri" w:cs="Calibri"/>
          <w:sz w:val="22"/>
          <w:szCs w:val="22"/>
        </w:rPr>
      </w:pPr>
    </w:p>
    <w:p w14:paraId="61F5E4AF" w14:textId="77777777" w:rsidR="00546CEA" w:rsidRDefault="00CA59EB">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xml:space="preserve">: Activar el Plan Operacional de Emergencia o Plan de Contingencia </w:t>
      </w:r>
      <w:proofErr w:type="gramStart"/>
      <w:r>
        <w:rPr>
          <w:rFonts w:ascii="Calibri" w:eastAsia="Calibri" w:hAnsi="Calibri" w:cs="Calibri"/>
          <w:sz w:val="22"/>
          <w:szCs w:val="22"/>
        </w:rPr>
        <w:t>de acuerdo a</w:t>
      </w:r>
      <w:proofErr w:type="gramEnd"/>
      <w:r>
        <w:rPr>
          <w:rFonts w:ascii="Calibri" w:eastAsia="Calibri" w:hAnsi="Calibri" w:cs="Calibri"/>
          <w:sz w:val="22"/>
          <w:szCs w:val="22"/>
        </w:rPr>
        <w:t xml:space="preserve"> lo establecido en el artículo 30 del Decr</w:t>
      </w:r>
      <w:r>
        <w:rPr>
          <w:rFonts w:ascii="Calibri" w:eastAsia="Calibri" w:hAnsi="Calibri" w:cs="Calibri"/>
          <w:sz w:val="22"/>
          <w:szCs w:val="22"/>
        </w:rPr>
        <w:t>eto 1575 de 2007 Y Resolución 549 de 2017, cuando las características físicas, químicas y microbiológicas definidas en el MAPA DE RIESGO DE AGUA PARA EL CONSUMO HUMANO que cada uno conoce, superen los valores admisibles.</w:t>
      </w:r>
    </w:p>
    <w:p w14:paraId="3152FE0B" w14:textId="77777777" w:rsidR="00546CEA" w:rsidRDefault="00546CEA">
      <w:pPr>
        <w:jc w:val="both"/>
        <w:rPr>
          <w:rFonts w:ascii="Calibri" w:eastAsia="Calibri" w:hAnsi="Calibri" w:cs="Calibri"/>
          <w:sz w:val="22"/>
          <w:szCs w:val="22"/>
        </w:rPr>
      </w:pPr>
    </w:p>
    <w:p w14:paraId="57E8B81F" w14:textId="77777777" w:rsidR="00546CEA" w:rsidRDefault="00CA59EB">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w:t>
      </w:r>
      <w:r>
        <w:rPr>
          <w:rFonts w:ascii="Calibri" w:eastAsia="Calibri" w:hAnsi="Calibri" w:cs="Calibri"/>
          <w:sz w:val="22"/>
          <w:szCs w:val="22"/>
        </w:rPr>
        <w:t>Salud Pública y Seguridad Social, actualizará el MAPA DE RIESGOS DE LA CALIDAD DEL AGUA PARA EL CONSUMO HUMANO, anualmente a más tardar el 30 de septiembre de cada año, teniendo en cuenta el avance de las acciones de reducción de riesgos, nuevos desarrollo</w:t>
      </w:r>
      <w:r>
        <w:rPr>
          <w:rFonts w:ascii="Calibri" w:eastAsia="Calibri" w:hAnsi="Calibri" w:cs="Calibri"/>
          <w:sz w:val="22"/>
          <w:szCs w:val="22"/>
        </w:rPr>
        <w:t xml:space="preserve">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15EC6C15" w14:textId="77777777" w:rsidR="00546CEA" w:rsidRDefault="00546CEA">
      <w:pPr>
        <w:jc w:val="both"/>
        <w:rPr>
          <w:rFonts w:ascii="Calibri" w:eastAsia="Calibri" w:hAnsi="Calibri" w:cs="Calibri"/>
          <w:sz w:val="22"/>
          <w:szCs w:val="22"/>
        </w:rPr>
      </w:pPr>
    </w:p>
    <w:p w14:paraId="29FB2DE8" w14:textId="77777777" w:rsidR="00546CEA" w:rsidRDefault="00CA59EB">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w:t>
      </w:r>
      <w:r>
        <w:rPr>
          <w:rFonts w:ascii="Calibri" w:eastAsia="Calibri" w:hAnsi="Calibri" w:cs="Calibri"/>
          <w:sz w:val="22"/>
          <w:szCs w:val="22"/>
        </w:rPr>
        <w:t xml:space="preserve"> apoderados,  haciéndole saber que contra el presente acto proceden los recursos de reposición ante esta Secretaría y subsidiariamente el de apelación ante la Alcaldía Municipal de Pereira, los cuales deberán ser interpuestos dentro de los diez (10) días s</w:t>
      </w:r>
      <w:r>
        <w:rPr>
          <w:rFonts w:ascii="Calibri" w:eastAsia="Calibri" w:hAnsi="Calibri" w:cs="Calibri"/>
          <w:sz w:val="22"/>
          <w:szCs w:val="22"/>
        </w:rPr>
        <w:t>iguientes a la notificación, conforme a lo establecido en el artículo 74 del Código de Procedimiento Administrativo y de lo Contencioso Administrativo.</w:t>
      </w:r>
    </w:p>
    <w:p w14:paraId="241CF3AD" w14:textId="77777777" w:rsidR="00546CEA" w:rsidRDefault="00546CEA">
      <w:pPr>
        <w:jc w:val="both"/>
        <w:rPr>
          <w:rFonts w:ascii="Calibri" w:eastAsia="Calibri" w:hAnsi="Calibri" w:cs="Calibri"/>
          <w:sz w:val="22"/>
          <w:szCs w:val="22"/>
        </w:rPr>
      </w:pPr>
    </w:p>
    <w:p w14:paraId="05BCF7E3" w14:textId="77777777" w:rsidR="00546CEA" w:rsidRDefault="00CA59EB">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w:t>
      </w:r>
      <w:r>
        <w:rPr>
          <w:rFonts w:ascii="Calibri" w:eastAsia="Calibri" w:hAnsi="Calibri" w:cs="Calibri"/>
          <w:sz w:val="22"/>
          <w:szCs w:val="22"/>
        </w:rPr>
        <w:t>eda supeditada a la actualización del MAPA DE RIESGO DE AGUA PARA EL CONSUMO HUMANO establecido en el artículo quinto de la presente resolución, siempre y cuando no existan variaciones contaminantes.</w:t>
      </w:r>
    </w:p>
    <w:p w14:paraId="3D7E703E" w14:textId="77777777" w:rsidR="00546CEA" w:rsidRDefault="00546CEA">
      <w:pPr>
        <w:rPr>
          <w:rFonts w:ascii="Calibri" w:eastAsia="Calibri" w:hAnsi="Calibri" w:cs="Calibri"/>
          <w:sz w:val="22"/>
          <w:szCs w:val="22"/>
        </w:rPr>
      </w:pPr>
    </w:p>
    <w:p w14:paraId="36A4DDE1" w14:textId="77777777" w:rsidR="00546CEA" w:rsidRDefault="00546CEA">
      <w:pPr>
        <w:rPr>
          <w:rFonts w:ascii="Calibri" w:eastAsia="Calibri" w:hAnsi="Calibri" w:cs="Calibri"/>
          <w:sz w:val="22"/>
          <w:szCs w:val="22"/>
        </w:rPr>
      </w:pPr>
    </w:p>
    <w:p w14:paraId="6DE0D508" w14:textId="77777777" w:rsidR="00546CEA" w:rsidRDefault="00CA59EB">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5597B01" w14:textId="77777777" w:rsidR="00546CEA" w:rsidRDefault="00CA59EB">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34D0D32B" w14:textId="77777777" w:rsidR="00546CEA" w:rsidRDefault="00546CEA">
      <w:pPr>
        <w:spacing w:after="200"/>
        <w:jc w:val="center"/>
        <w:rPr>
          <w:rFonts w:ascii="Calibri" w:eastAsia="Calibri" w:hAnsi="Calibri" w:cs="Calibri"/>
          <w:b/>
          <w:sz w:val="22"/>
          <w:szCs w:val="22"/>
        </w:rPr>
      </w:pPr>
    </w:p>
    <w:p w14:paraId="4A41F17C" w14:textId="77777777" w:rsidR="00546CEA" w:rsidRDefault="00546CEA">
      <w:pPr>
        <w:spacing w:after="200"/>
        <w:jc w:val="center"/>
        <w:rPr>
          <w:rFonts w:ascii="Calibri" w:eastAsia="Calibri" w:hAnsi="Calibri" w:cs="Calibri"/>
          <w:b/>
          <w:sz w:val="22"/>
          <w:szCs w:val="22"/>
        </w:rPr>
      </w:pPr>
    </w:p>
    <w:p w14:paraId="5EDA0C38" w14:textId="77777777" w:rsidR="00546CEA" w:rsidRDefault="00CA59EB">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6E13A8F1" w14:textId="77777777" w:rsidR="00546CEA" w:rsidRDefault="00CA59EB">
      <w:pPr>
        <w:ind w:right="16"/>
        <w:jc w:val="both"/>
        <w:rPr>
          <w:rFonts w:ascii="Calibri" w:eastAsia="Calibri" w:hAnsi="Calibri" w:cs="Calibri"/>
          <w:b/>
          <w:sz w:val="22"/>
          <w:szCs w:val="22"/>
        </w:rPr>
      </w:pPr>
      <w:r>
        <w:rPr>
          <w:rFonts w:ascii="Calibri" w:eastAsia="Calibri" w:hAnsi="Calibri" w:cs="Calibri"/>
          <w:b/>
          <w:sz w:val="22"/>
          <w:szCs w:val="22"/>
        </w:rPr>
        <w:t xml:space="preserve">Secretaría de Salud Pública y Seguridad Social                </w:t>
      </w:r>
      <w:proofErr w:type="gramStart"/>
      <w:r>
        <w:rPr>
          <w:rFonts w:ascii="Calibri" w:eastAsia="Calibri" w:hAnsi="Calibri" w:cs="Calibri"/>
          <w:b/>
          <w:sz w:val="22"/>
          <w:szCs w:val="22"/>
        </w:rPr>
        <w:t>Directora</w:t>
      </w:r>
      <w:proofErr w:type="gramEnd"/>
      <w:r>
        <w:rPr>
          <w:rFonts w:ascii="Calibri" w:eastAsia="Calibri" w:hAnsi="Calibri" w:cs="Calibri"/>
          <w:b/>
          <w:sz w:val="22"/>
          <w:szCs w:val="22"/>
        </w:rPr>
        <w:t xml:space="preserve"> Operativa de Salud Pública</w:t>
      </w:r>
    </w:p>
    <w:p w14:paraId="03451546" w14:textId="77777777" w:rsidR="00546CEA" w:rsidRDefault="00CA59EB">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C4DCB51" w14:textId="77777777" w:rsidR="00546CEA" w:rsidRDefault="00546CEA">
      <w:pPr>
        <w:spacing w:after="200"/>
        <w:jc w:val="both"/>
        <w:rPr>
          <w:rFonts w:ascii="Calibri" w:eastAsia="Calibri" w:hAnsi="Calibri" w:cs="Calibri"/>
          <w:b/>
          <w:sz w:val="22"/>
          <w:szCs w:val="22"/>
        </w:rPr>
      </w:pPr>
    </w:p>
    <w:p w14:paraId="1F7D8E57" w14:textId="77777777" w:rsidR="00546CEA" w:rsidRDefault="00CA59EB">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r>
      <w:r>
        <w:rPr>
          <w:rFonts w:ascii="Calibri" w:eastAsia="Calibri" w:hAnsi="Calibri" w:cs="Calibri"/>
          <w:b/>
          <w:sz w:val="16"/>
          <w:szCs w:val="16"/>
        </w:rPr>
        <w:tab/>
        <w:t>Contratista Secretaría de Salud Pública y Seguridad Social de Perei</w:t>
      </w:r>
      <w:r>
        <w:rPr>
          <w:rFonts w:ascii="Calibri" w:eastAsia="Calibri" w:hAnsi="Calibri" w:cs="Calibri"/>
          <w:b/>
          <w:sz w:val="16"/>
          <w:szCs w:val="16"/>
        </w:rPr>
        <w:t>ra</w:t>
      </w:r>
    </w:p>
    <w:p w14:paraId="2ECA54A6" w14:textId="77777777" w:rsidR="00546CEA" w:rsidRDefault="00CA59EB">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231E1F9D" w14:textId="77777777" w:rsidR="00546CEA" w:rsidRDefault="00CA59EB">
      <w:pPr>
        <w:jc w:val="both"/>
        <w:rPr>
          <w:rFonts w:ascii="Calibri" w:eastAsia="Calibri" w:hAnsi="Calibri" w:cs="Calibri"/>
          <w:b/>
          <w:sz w:val="16"/>
          <w:szCs w:val="16"/>
        </w:rPr>
      </w:pPr>
      <w:r>
        <w:rPr>
          <w:rFonts w:ascii="Calibri" w:eastAsia="Calibri" w:hAnsi="Calibri" w:cs="Calibri"/>
          <w:b/>
          <w:sz w:val="16"/>
          <w:szCs w:val="16"/>
        </w:rPr>
        <w:tab/>
      </w:r>
    </w:p>
    <w:p w14:paraId="55AF87D0" w14:textId="77777777" w:rsidR="00546CEA" w:rsidRDefault="00CA59EB">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Contratista Apoyo Profesional Secretaría de Salud Pública y Seguridad Social de Pereira</w:t>
      </w:r>
    </w:p>
    <w:p w14:paraId="49FA1A7B" w14:textId="77777777" w:rsidR="00546CEA" w:rsidRDefault="00CA59EB">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1AD6AFA9" w14:textId="77777777" w:rsidR="00546CEA" w:rsidRDefault="00546CEA">
      <w:pPr>
        <w:jc w:val="both"/>
        <w:rPr>
          <w:rFonts w:ascii="Calibri" w:eastAsia="Calibri" w:hAnsi="Calibri" w:cs="Calibri"/>
          <w:b/>
          <w:sz w:val="16"/>
          <w:szCs w:val="16"/>
        </w:rPr>
      </w:pPr>
    </w:p>
    <w:p w14:paraId="391DAB1B" w14:textId="77777777" w:rsidR="00546CEA" w:rsidRDefault="00CA59EB">
      <w:pPr>
        <w:jc w:val="both"/>
        <w:rPr>
          <w:rFonts w:ascii="Calibri" w:eastAsia="Calibri" w:hAnsi="Calibri" w:cs="Calibri"/>
          <w:b/>
          <w:sz w:val="16"/>
          <w:szCs w:val="16"/>
        </w:rPr>
      </w:pPr>
      <w:r>
        <w:rPr>
          <w:rFonts w:ascii="Calibri" w:eastAsia="Calibri" w:hAnsi="Calibri" w:cs="Calibri"/>
          <w:b/>
          <w:sz w:val="16"/>
          <w:szCs w:val="16"/>
        </w:rPr>
        <w:t>Revisión Jurídica:</w:t>
      </w:r>
      <w:r>
        <w:rPr>
          <w:rFonts w:ascii="Calibri" w:eastAsia="Calibri" w:hAnsi="Calibri" w:cs="Calibri"/>
          <w:b/>
          <w:sz w:val="16"/>
          <w:szCs w:val="16"/>
        </w:rPr>
        <w:tab/>
        <w:t>Contratista Apoy</w:t>
      </w:r>
      <w:r>
        <w:rPr>
          <w:rFonts w:ascii="Calibri" w:eastAsia="Calibri" w:hAnsi="Calibri" w:cs="Calibri"/>
          <w:b/>
          <w:sz w:val="16"/>
          <w:szCs w:val="16"/>
        </w:rPr>
        <w:t>o Profesional Secretaría de Salud Pública y Seguridad Social de Pereira</w:t>
      </w:r>
    </w:p>
    <w:p w14:paraId="4239F3F0" w14:textId="77777777" w:rsidR="00546CEA" w:rsidRDefault="00CA59EB">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sectPr w:rsidR="00546CEA">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757F" w14:textId="77777777" w:rsidR="00CA59EB" w:rsidRDefault="00CA59EB">
      <w:r>
        <w:separator/>
      </w:r>
    </w:p>
  </w:endnote>
  <w:endnote w:type="continuationSeparator" w:id="0">
    <w:p w14:paraId="27E9A74C" w14:textId="77777777" w:rsidR="00CA59EB" w:rsidRDefault="00CA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6A3E" w14:textId="77777777" w:rsidR="00546CEA" w:rsidRDefault="00CA59EB">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694C25">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694C25">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6328A17E" w14:textId="77777777" w:rsidR="00546CEA" w:rsidRDefault="00546CE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B7DC" w14:textId="77777777" w:rsidR="00CA59EB" w:rsidRDefault="00CA59EB">
      <w:r>
        <w:separator/>
      </w:r>
    </w:p>
  </w:footnote>
  <w:footnote w:type="continuationSeparator" w:id="0">
    <w:p w14:paraId="5203A691" w14:textId="77777777" w:rsidR="00CA59EB" w:rsidRDefault="00CA5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0BB6" w14:textId="77777777" w:rsidR="00546CEA" w:rsidRDefault="00CA59EB">
    <w:pPr>
      <w:pStyle w:val="Ttulo4"/>
      <w:numPr>
        <w:ilvl w:val="3"/>
        <w:numId w:val="2"/>
      </w:numPr>
      <w:ind w:left="864" w:hanging="864"/>
      <w:jc w:val="left"/>
      <w:rPr>
        <w:rFonts w:ascii="Arial" w:eastAsia="Arial" w:hAnsi="Arial" w:cs="Arial"/>
        <w:b w:val="0"/>
        <w:sz w:val="20"/>
      </w:rPr>
    </w:pPr>
    <w:r>
      <w:rPr>
        <w:noProof/>
      </w:rPr>
      <mc:AlternateContent>
        <mc:Choice Requires="wps">
          <w:drawing>
            <wp:anchor distT="0" distB="0" distL="114300" distR="114300" simplePos="0" relativeHeight="251658240" behindDoc="0" locked="0" layoutInCell="1" hidden="0" allowOverlap="1" wp14:anchorId="2C37C63D" wp14:editId="72BCDCA3">
              <wp:simplePos x="0" y="0"/>
              <wp:positionH relativeFrom="column">
                <wp:posOffset>939800</wp:posOffset>
              </wp:positionH>
              <wp:positionV relativeFrom="paragraph">
                <wp:posOffset>-126999</wp:posOffset>
              </wp:positionV>
              <wp:extent cx="5162550" cy="784860"/>
              <wp:effectExtent l="0" t="0" r="0" b="0"/>
              <wp:wrapNone/>
              <wp:docPr id="1262" name="Rectángulo 1262"/>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1F28E04A" w14:textId="77777777" w:rsidR="00546CEA" w:rsidRDefault="00CA59EB">
                          <w:pPr>
                            <w:jc w:val="center"/>
                            <w:textDirection w:val="btLr"/>
                          </w:pPr>
                          <w:r>
                            <w:rPr>
                              <w:rFonts w:ascii="Arial" w:eastAsia="Arial" w:hAnsi="Arial" w:cs="Arial"/>
                              <w:b/>
                              <w:color w:val="000000"/>
                              <w:sz w:val="24"/>
                            </w:rPr>
                            <w:t>RESOLUCIÓN DE MAPA DE RIESGO DE LA CALIDAD DEL AGUA PARA EL CONSUMO HUMANO EN EL MUNICIPIO DE PEREIRA</w:t>
                          </w:r>
                        </w:p>
                        <w:p w14:paraId="7E3138E4" w14:textId="77777777" w:rsidR="00546CEA" w:rsidRDefault="00CA59EB">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wps:txbx>
                    <wps:bodyPr spcFirstLastPara="1" wrap="square" lIns="91425" tIns="45700" rIns="91425" bIns="45700" anchor="t" anchorCtr="0">
                      <a:noAutofit/>
                    </wps:bodyPr>
                  </wps:wsp>
                </a:graphicData>
              </a:graphic>
            </wp:anchor>
          </w:drawing>
        </mc:Choice>
        <mc:Fallback>
          <w:pict>
            <v:rect w14:anchorId="2C37C63D" id="Rectángulo 1262" o:spid="_x0000_s1026" style="position:absolute;left:0;text-align:left;margin-left:74pt;margin-top:-10pt;width:406.5pt;height:6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" stroked="f">
              <v:textbox inset="2.53958mm,1.2694mm,2.53958mm,1.2694mm">
                <w:txbxContent>
                  <w:p w14:paraId="1F28E04A" w14:textId="77777777" w:rsidR="00546CEA" w:rsidRDefault="00CA59EB">
                    <w:pPr>
                      <w:jc w:val="center"/>
                      <w:textDirection w:val="btLr"/>
                    </w:pPr>
                    <w:r>
                      <w:rPr>
                        <w:rFonts w:ascii="Arial" w:eastAsia="Arial" w:hAnsi="Arial" w:cs="Arial"/>
                        <w:b/>
                        <w:color w:val="000000"/>
                        <w:sz w:val="24"/>
                      </w:rPr>
                      <w:t>RESOLUCIÓN DE MAPA DE RIESGO DE LA CALIDAD DEL AGUA PARA EL CONSUMO HUMANO EN EL MUNICIPIO DE PEREIRA</w:t>
                    </w:r>
                  </w:p>
                  <w:p w14:paraId="7E3138E4" w14:textId="77777777" w:rsidR="00546CEA" w:rsidRDefault="00CA59EB">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v:textbox>
            </v:rect>
          </w:pict>
        </mc:Fallback>
      </mc:AlternateContent>
    </w:r>
    <w:r>
      <w:rPr>
        <w:noProof/>
      </w:rPr>
      <w:drawing>
        <wp:anchor distT="0" distB="0" distL="114300" distR="114300" simplePos="0" relativeHeight="251659264" behindDoc="0" locked="0" layoutInCell="1" hidden="0" allowOverlap="1" wp14:anchorId="5269482F" wp14:editId="2C030D5D">
          <wp:simplePos x="0" y="0"/>
          <wp:positionH relativeFrom="column">
            <wp:posOffset>-718184</wp:posOffset>
          </wp:positionH>
          <wp:positionV relativeFrom="paragraph">
            <wp:posOffset>-158113</wp:posOffset>
          </wp:positionV>
          <wp:extent cx="1491203" cy="593358"/>
          <wp:effectExtent l="0" t="0" r="0" b="0"/>
          <wp:wrapNone/>
          <wp:docPr id="12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5FAE3C8D" w14:textId="77777777" w:rsidR="00546CEA" w:rsidRDefault="00546CEA">
    <w:pPr>
      <w:pStyle w:val="Ttulo4"/>
      <w:numPr>
        <w:ilvl w:val="3"/>
        <w:numId w:val="2"/>
      </w:numPr>
      <w:ind w:left="864" w:hanging="864"/>
      <w:jc w:val="left"/>
      <w:rPr>
        <w:rFonts w:ascii="Arial" w:eastAsia="Arial" w:hAnsi="Arial" w:cs="Arial"/>
        <w:b w:val="0"/>
        <w:sz w:val="20"/>
      </w:rPr>
    </w:pPr>
  </w:p>
  <w:p w14:paraId="3A55DB98" w14:textId="77777777" w:rsidR="00546CEA" w:rsidRDefault="00546CEA">
    <w:pPr>
      <w:pBdr>
        <w:top w:val="nil"/>
        <w:left w:val="nil"/>
        <w:bottom w:val="nil"/>
        <w:right w:val="nil"/>
        <w:between w:val="nil"/>
      </w:pBdr>
      <w:tabs>
        <w:tab w:val="center" w:pos="4252"/>
        <w:tab w:val="right" w:pos="8504"/>
      </w:tabs>
      <w:rPr>
        <w:color w:val="000000"/>
      </w:rPr>
    </w:pPr>
  </w:p>
  <w:p w14:paraId="0AD61F0D" w14:textId="77777777" w:rsidR="00546CEA" w:rsidRDefault="00CA59EB">
    <w:pPr>
      <w:pStyle w:val="Ttulo4"/>
      <w:numPr>
        <w:ilvl w:val="3"/>
        <w:numId w:val="2"/>
      </w:numPr>
      <w:ind w:left="864" w:hanging="864"/>
      <w:jc w:val="left"/>
      <w:rPr>
        <w:rFonts w:ascii="Arial" w:eastAsia="Arial" w:hAnsi="Arial" w:cs="Arial"/>
        <w:b w:val="0"/>
        <w:sz w:val="20"/>
      </w:rPr>
    </w:pPr>
    <w:r>
      <w:rPr>
        <w:noProof/>
      </w:rPr>
      <mc:AlternateContent>
        <mc:Choice Requires="wpg">
          <w:drawing>
            <wp:anchor distT="0" distB="0" distL="114300" distR="114300" simplePos="0" relativeHeight="251660288" behindDoc="0" locked="0" layoutInCell="1" hidden="0" allowOverlap="1" wp14:anchorId="0C247DE8" wp14:editId="6EFEEDF1">
              <wp:simplePos x="0" y="0"/>
              <wp:positionH relativeFrom="column">
                <wp:posOffset>-304799</wp:posOffset>
              </wp:positionH>
              <wp:positionV relativeFrom="paragraph">
                <wp:posOffset>165100</wp:posOffset>
              </wp:positionV>
              <wp:extent cx="6448425" cy="76200"/>
              <wp:effectExtent l="0" t="0" r="0" b="0"/>
              <wp:wrapNone/>
              <wp:docPr id="1260" name="Conector recto de flecha 1260"/>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509"/>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165100</wp:posOffset>
              </wp:positionV>
              <wp:extent cx="6448425" cy="76200"/>
              <wp:effectExtent b="0" l="0" r="0" t="0"/>
              <wp:wrapNone/>
              <wp:docPr id="1260"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6448425" cy="76200"/>
                      </a:xfrm>
                      <a:prstGeom prst="rect"/>
                      <a:ln/>
                    </pic:spPr>
                  </pic:pic>
                </a:graphicData>
              </a:graphic>
            </wp:anchor>
          </w:drawing>
        </mc:Fallback>
      </mc:AlternateContent>
    </w:r>
  </w:p>
  <w:p w14:paraId="5371FE7A" w14:textId="77777777" w:rsidR="00546CEA" w:rsidRDefault="00CA59EB">
    <w:pPr>
      <w:pStyle w:val="Ttulo4"/>
      <w:numPr>
        <w:ilvl w:val="3"/>
        <w:numId w:val="2"/>
      </w:numPr>
      <w:ind w:left="864" w:hanging="864"/>
      <w:jc w:val="left"/>
      <w:rPr>
        <w:rFonts w:ascii="Arial" w:eastAsia="Arial" w:hAnsi="Arial" w:cs="Arial"/>
        <w:b w:val="0"/>
        <w:sz w:val="20"/>
      </w:rPr>
    </w:pPr>
    <w:r>
      <w:rPr>
        <w:noProof/>
      </w:rPr>
      <mc:AlternateContent>
        <mc:Choice Requires="wps">
          <w:drawing>
            <wp:anchor distT="0" distB="0" distL="114300" distR="114300" simplePos="0" relativeHeight="251661312" behindDoc="0" locked="0" layoutInCell="1" hidden="0" allowOverlap="1" wp14:anchorId="44FB2D63" wp14:editId="73090C19">
              <wp:simplePos x="0" y="0"/>
              <wp:positionH relativeFrom="column">
                <wp:posOffset>-139699</wp:posOffset>
              </wp:positionH>
              <wp:positionV relativeFrom="paragraph">
                <wp:posOffset>88900</wp:posOffset>
              </wp:positionV>
              <wp:extent cx="958850" cy="287655"/>
              <wp:effectExtent l="0" t="0" r="0" b="0"/>
              <wp:wrapNone/>
              <wp:docPr id="1263" name="Rectángulo 1263"/>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2EB4F9E6" w14:textId="77777777" w:rsidR="00546CEA" w:rsidRDefault="00CA59EB">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44FB2D63" id="Rectángulo 1263" o:spid="_x0000_s1027" style="position:absolute;left:0;text-align:left;margin-left:-11pt;margin-top:7pt;width:75.5pt;height:2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" stroked="f">
              <v:textbox inset="2.53958mm,1.2694mm,2.53958mm,1.2694mm">
                <w:txbxContent>
                  <w:p w14:paraId="2EB4F9E6" w14:textId="77777777" w:rsidR="00546CEA" w:rsidRDefault="00CA59EB">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D2212D1" wp14:editId="5F38BFF4">
              <wp:simplePos x="0" y="0"/>
              <wp:positionH relativeFrom="column">
                <wp:posOffset>3797300</wp:posOffset>
              </wp:positionH>
              <wp:positionV relativeFrom="paragraph">
                <wp:posOffset>88900</wp:posOffset>
              </wp:positionV>
              <wp:extent cx="2238375" cy="272415"/>
              <wp:effectExtent l="0" t="0" r="0" b="0"/>
              <wp:wrapNone/>
              <wp:docPr id="1261" name="Rectángulo 1261"/>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0DE61D65" w14:textId="77777777" w:rsidR="00546CEA" w:rsidRDefault="00CA59EB">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3D2212D1" id="Rectángulo 1261" o:spid="_x0000_s1028" style="position:absolute;left:0;text-align:left;margin-left:299pt;margin-top:7pt;width:176.25pt;height:2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" stroked="f">
              <v:textbox inset="2.53958mm,1.2694mm,2.53958mm,1.2694mm">
                <w:txbxContent>
                  <w:p w14:paraId="0DE61D65" w14:textId="77777777" w:rsidR="00546CEA" w:rsidRDefault="00CA59EB">
                    <w:pPr>
                      <w:jc w:val="right"/>
                      <w:textDirection w:val="btLr"/>
                    </w:pPr>
                    <w:r>
                      <w:rPr>
                        <w:rFonts w:ascii="Arial" w:eastAsia="Arial" w:hAnsi="Arial" w:cs="Arial"/>
                        <w:color w:val="000000"/>
                        <w:sz w:val="16"/>
                      </w:rPr>
                      <w:t>Fecha de Vigencia: octubre 19 de 2020</w:t>
                    </w:r>
                  </w:p>
                </w:txbxContent>
              </v:textbox>
            </v:rect>
          </w:pict>
        </mc:Fallback>
      </mc:AlternateContent>
    </w:r>
  </w:p>
  <w:p w14:paraId="573C7678" w14:textId="77777777" w:rsidR="00546CEA" w:rsidRDefault="00546CEA">
    <w:pPr>
      <w:pStyle w:val="Ttulo4"/>
      <w:numPr>
        <w:ilvl w:val="3"/>
        <w:numId w:val="2"/>
      </w:numPr>
      <w:ind w:left="864" w:hanging="864"/>
      <w:jc w:val="left"/>
      <w:rPr>
        <w:rFonts w:ascii="Arial" w:eastAsia="Arial" w:hAnsi="Arial" w:cs="Arial"/>
        <w:b w:val="0"/>
        <w:sz w:val="20"/>
      </w:rPr>
    </w:pPr>
  </w:p>
  <w:p w14:paraId="4599C5DD" w14:textId="77777777" w:rsidR="00546CEA" w:rsidRDefault="00546CEA">
    <w:pPr>
      <w:pBdr>
        <w:top w:val="nil"/>
        <w:left w:val="nil"/>
        <w:bottom w:val="nil"/>
        <w:right w:val="nil"/>
        <w:between w:val="nil"/>
      </w:pBdr>
      <w:rPr>
        <w:rFonts w:ascii="Arial" w:eastAsia="Arial" w:hAnsi="Arial" w:cs="Arial"/>
        <w:b/>
        <w:color w:val="595959"/>
        <w:sz w:val="24"/>
        <w:szCs w:val="24"/>
      </w:rPr>
    </w:pPr>
  </w:p>
  <w:p w14:paraId="37489B2F" w14:textId="77777777" w:rsidR="00546CEA" w:rsidRDefault="00CA59EB">
    <w:pPr>
      <w:jc w:val="center"/>
      <w:rPr>
        <w:rFonts w:ascii="Arial" w:eastAsia="Arial" w:hAnsi="Arial" w:cs="Arial"/>
        <w:b/>
        <w:sz w:val="24"/>
        <w:szCs w:val="24"/>
      </w:rPr>
    </w:pPr>
    <w:r>
      <w:rPr>
        <w:rFonts w:ascii="Arial" w:eastAsia="Arial" w:hAnsi="Arial" w:cs="Arial"/>
        <w:b/>
        <w:sz w:val="24"/>
        <w:szCs w:val="24"/>
      </w:rPr>
      <w:t>POR MEDIO DE LA CUAL SE ADOPTA EL MAPA DE RIESGO DE LA CALIDAD DEL AGUA PARA EL CONSUMO HUMANO JUNTA ADMINISTRADORA ACUEDUCTO AMOLADORA BAJA</w:t>
    </w:r>
  </w:p>
  <w:p w14:paraId="77762320" w14:textId="77777777" w:rsidR="00546CEA" w:rsidRDefault="00546CE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E16E1"/>
    <w:multiLevelType w:val="multilevel"/>
    <w:tmpl w:val="ECDEB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pStyle w:val="Ttulo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61768B"/>
    <w:multiLevelType w:val="multilevel"/>
    <w:tmpl w:val="FF92472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EA"/>
    <w:rsid w:val="00546CEA"/>
    <w:rsid w:val="00694C25"/>
    <w:rsid w:val="00CA59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7D44"/>
  <w15:docId w15:val="{6A638454-B0CC-4641-AE4D-0904F7AC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lWd1iMYOOc/Rub+pVxhiIUAJbg==">AMUW2mWeDl+BJffpdDloZjCQIwn/NDiw76PieLFj7Fszcd/brz8z4siEwHKP9uPzvt4TdBjke3u0qkWrp44FSffXmhpFBzqFHoO9PVJmaDAymY3WpcbL7PU=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2436</Words>
  <Characters>13400</Characters>
  <Application>Microsoft Office Word</Application>
  <DocSecurity>0</DocSecurity>
  <Lines>111</Lines>
  <Paragraphs>31</Paragraphs>
  <ScaleCrop>false</ScaleCrop>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2021-09-14T16:33:00Z</dcterms:created>
  <dcterms:modified xsi:type="dcterms:W3CDTF">2021-09-14T16:33:00Z</dcterms:modified>
</cp:coreProperties>
</file>