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58B" w:rsidRPr="00E33B2F" w:rsidRDefault="003A258B" w:rsidP="009D3B3A">
      <w:pPr>
        <w:spacing w:after="0" w:line="240" w:lineRule="auto"/>
        <w:jc w:val="center"/>
        <w:rPr>
          <w:rFonts w:ascii="Arial" w:eastAsia="Times New Roman" w:hAnsi="Arial" w:cs="Arial"/>
          <w:b/>
          <w:bCs/>
          <w:lang w:eastAsia="es-CO"/>
        </w:rPr>
      </w:pPr>
    </w:p>
    <w:p w:rsidR="00F845F8" w:rsidRPr="00E33B2F" w:rsidRDefault="00F845F8" w:rsidP="00F845F8">
      <w:pPr>
        <w:pStyle w:val="Textoindependiente21"/>
        <w:numPr>
          <w:ilvl w:val="0"/>
          <w:numId w:val="6"/>
        </w:numPr>
        <w:jc w:val="center"/>
        <w:rPr>
          <w:sz w:val="22"/>
          <w:szCs w:val="22"/>
        </w:rPr>
      </w:pPr>
      <w:r w:rsidRPr="00E33B2F">
        <w:rPr>
          <w:b/>
          <w:bCs/>
          <w:sz w:val="22"/>
          <w:szCs w:val="22"/>
        </w:rPr>
        <w:t>IDENTIFICACION Y DESCRIPCIÓN DE LA NECESIDAD</w:t>
      </w:r>
    </w:p>
    <w:p w:rsidR="00F845F8" w:rsidRPr="00E33B2F" w:rsidRDefault="00F845F8" w:rsidP="00F845F8">
      <w:pPr>
        <w:shd w:val="clear" w:color="auto" w:fill="FFFFFF"/>
        <w:spacing w:before="245"/>
        <w:ind w:right="110"/>
        <w:jc w:val="both"/>
        <w:rPr>
          <w:rFonts w:ascii="Arial" w:hAnsi="Arial" w:cs="Arial"/>
          <w:shd w:val="clear" w:color="auto" w:fill="FFFFFF"/>
        </w:rPr>
      </w:pPr>
      <w:r w:rsidRPr="00E33B2F">
        <w:rPr>
          <w:rFonts w:ascii="Arial" w:hAnsi="Arial" w:cs="Arial"/>
          <w:spacing w:val="-3"/>
          <w:lang w:val="es-ES_tradnl"/>
        </w:rPr>
        <w:t xml:space="preserve">En el marco del Plan Decenal de salud pública PDSP 2012-2021 adoptado mediante </w:t>
      </w:r>
      <w:hyperlink r:id="rId7" w:tgtFrame="_blank" w:history="1">
        <w:r w:rsidRPr="00E33B2F">
          <w:rPr>
            <w:rFonts w:ascii="Arial" w:hAnsi="Arial" w:cs="Arial"/>
            <w:spacing w:val="-3"/>
            <w:lang w:val="es-ES_tradnl"/>
          </w:rPr>
          <w:t>Resolución 1841 de 2013 PDSP</w:t>
        </w:r>
      </w:hyperlink>
      <w:r w:rsidRPr="00E33B2F">
        <w:rPr>
          <w:rFonts w:ascii="Arial" w:hAnsi="Arial" w:cs="Arial"/>
          <w:spacing w:val="-3"/>
          <w:lang w:val="es-ES_tradnl"/>
        </w:rPr>
        <w:t xml:space="preserve">, y que tiene como producto </w:t>
      </w:r>
      <w:r w:rsidRPr="00E33B2F">
        <w:rPr>
          <w:rFonts w:ascii="Arial" w:hAnsi="Arial" w:cs="Arial"/>
          <w:lang w:val="es-ES_tradnl"/>
        </w:rPr>
        <w:t xml:space="preserve">del Plan </w:t>
      </w:r>
      <w:r w:rsidRPr="00E33B2F">
        <w:rPr>
          <w:rFonts w:ascii="Arial" w:hAnsi="Arial" w:cs="Arial"/>
          <w:spacing w:val="-3"/>
          <w:lang w:val="es-ES_tradnl"/>
        </w:rPr>
        <w:t xml:space="preserve">Nacional de Desarrollo 2018-2022 “Pacto por Colombia, pacto por la equidad”,  </w:t>
      </w:r>
      <w:r w:rsidRPr="00E33B2F">
        <w:rPr>
          <w:rFonts w:ascii="Arial" w:hAnsi="Arial" w:cs="Arial"/>
          <w:shd w:val="clear" w:color="auto" w:fill="FFFFFF"/>
        </w:rPr>
        <w:t>cuyo objetivo es el de marcar los lineamientos para el crecimiento y mejoramiento del país y determina los procesos que se deben llevar a cabo para cumplir con estas metas. El Plan Nacional de Desarrollo busca alcanzar la inclusión social y productiva, a través del Emprendimiento y la Legalidad. Legalidad como semilla, el emprendimiento como tronco de crecimiento y la equidad como fruto, para construir el futuro de Colombia.</w:t>
      </w:r>
    </w:p>
    <w:p w:rsidR="00F845F8" w:rsidRPr="00E33B2F" w:rsidRDefault="00F845F8" w:rsidP="00F845F8">
      <w:pPr>
        <w:shd w:val="clear" w:color="auto" w:fill="FFFFFF"/>
        <w:jc w:val="center"/>
        <w:outlineLvl w:val="2"/>
        <w:rPr>
          <w:rFonts w:ascii="Arial" w:hAnsi="Arial" w:cs="Arial"/>
          <w:b/>
          <w:lang w:eastAsia="es-CO"/>
        </w:rPr>
      </w:pPr>
      <w:r w:rsidRPr="00E33B2F">
        <w:rPr>
          <w:rFonts w:ascii="Arial" w:hAnsi="Arial" w:cs="Arial"/>
          <w:b/>
          <w:lang w:eastAsia="es-CO"/>
        </w:rPr>
        <w:t>Legalidad</w:t>
      </w:r>
    </w:p>
    <w:p w:rsidR="00F845F8" w:rsidRPr="00E33B2F" w:rsidRDefault="00F845F8" w:rsidP="00F845F8">
      <w:pPr>
        <w:shd w:val="clear" w:color="auto" w:fill="FFFFFF"/>
        <w:jc w:val="both"/>
        <w:rPr>
          <w:rFonts w:ascii="Arial" w:hAnsi="Arial" w:cs="Arial"/>
          <w:lang w:eastAsia="es-CO"/>
        </w:rPr>
      </w:pPr>
      <w:r w:rsidRPr="00E33B2F">
        <w:rPr>
          <w:rFonts w:ascii="Arial" w:hAnsi="Arial" w:cs="Arial"/>
          <w:lang w:eastAsia="es-CO"/>
        </w:rPr>
        <w:t>Seguridad efectiva y justicia transparente para que todos vivamos con libertad y en democracia. Consolidación del Estado Social de Derecho, para garantizar la protección a la vida, honra y bienes de todos los colombianos, así como el imperio de la Ley.</w:t>
      </w:r>
    </w:p>
    <w:p w:rsidR="00F845F8" w:rsidRPr="00E33B2F" w:rsidRDefault="00F845F8" w:rsidP="00F845F8">
      <w:pPr>
        <w:pStyle w:val="Ttulo3"/>
        <w:numPr>
          <w:ilvl w:val="2"/>
          <w:numId w:val="5"/>
        </w:numPr>
        <w:shd w:val="clear" w:color="auto" w:fill="FFFFFF"/>
        <w:jc w:val="center"/>
        <w:rPr>
          <w:bCs/>
          <w:color w:val="auto"/>
          <w:szCs w:val="22"/>
        </w:rPr>
      </w:pPr>
      <w:r w:rsidRPr="00E33B2F">
        <w:rPr>
          <w:bCs/>
          <w:color w:val="auto"/>
          <w:szCs w:val="22"/>
        </w:rPr>
        <w:t>Emprendimiento</w:t>
      </w:r>
    </w:p>
    <w:p w:rsidR="00F845F8" w:rsidRPr="00E33B2F" w:rsidRDefault="00F845F8" w:rsidP="00F845F8">
      <w:pPr>
        <w:pStyle w:val="NormalWeb"/>
        <w:shd w:val="clear" w:color="auto" w:fill="FFFFFF"/>
        <w:spacing w:before="0" w:beforeAutospacing="0" w:after="0" w:afterAutospacing="0"/>
        <w:jc w:val="both"/>
        <w:rPr>
          <w:rFonts w:ascii="Arial" w:hAnsi="Arial" w:cs="Arial"/>
          <w:sz w:val="22"/>
          <w:szCs w:val="22"/>
        </w:rPr>
      </w:pPr>
      <w:r w:rsidRPr="00E33B2F">
        <w:rPr>
          <w:rFonts w:ascii="Arial" w:hAnsi="Arial" w:cs="Arial"/>
          <w:sz w:val="22"/>
          <w:szCs w:val="22"/>
        </w:rPr>
        <w:t>El crecimiento económico se potenciará con un entorno favorable a la creación y consolidación de un tejido empresarial sólido y competitivo.</w:t>
      </w:r>
    </w:p>
    <w:p w:rsidR="00F4137E" w:rsidRPr="00E33B2F" w:rsidRDefault="00F845F8" w:rsidP="00F4137E">
      <w:pPr>
        <w:pStyle w:val="Ttulo3"/>
        <w:numPr>
          <w:ilvl w:val="2"/>
          <w:numId w:val="5"/>
        </w:numPr>
        <w:shd w:val="clear" w:color="auto" w:fill="FFFFFF"/>
        <w:jc w:val="center"/>
        <w:rPr>
          <w:bCs/>
          <w:color w:val="auto"/>
          <w:szCs w:val="22"/>
        </w:rPr>
      </w:pPr>
      <w:r w:rsidRPr="00E33B2F">
        <w:rPr>
          <w:bCs/>
          <w:color w:val="auto"/>
          <w:szCs w:val="22"/>
        </w:rPr>
        <w:t>Equidad</w:t>
      </w:r>
    </w:p>
    <w:p w:rsidR="00F845F8" w:rsidRPr="00E33B2F" w:rsidRDefault="00F845F8" w:rsidP="00F845F8">
      <w:pPr>
        <w:pStyle w:val="NormalWeb"/>
        <w:shd w:val="clear" w:color="auto" w:fill="FFFFFF"/>
        <w:spacing w:before="0" w:beforeAutospacing="0" w:after="0" w:afterAutospacing="0"/>
        <w:jc w:val="both"/>
        <w:rPr>
          <w:rFonts w:ascii="Arial" w:hAnsi="Arial" w:cs="Arial"/>
          <w:sz w:val="22"/>
          <w:szCs w:val="22"/>
        </w:rPr>
      </w:pPr>
      <w:r w:rsidRPr="00E33B2F">
        <w:rPr>
          <w:rFonts w:ascii="Arial" w:hAnsi="Arial" w:cs="Arial"/>
          <w:sz w:val="22"/>
          <w:szCs w:val="22"/>
        </w:rPr>
        <w:t>Un pacto por la equidad para ampliar las oportunidades de todas las familias colombianas.</w:t>
      </w:r>
    </w:p>
    <w:p w:rsidR="00F845F8" w:rsidRPr="00E33B2F" w:rsidRDefault="00F845F8" w:rsidP="00F845F8">
      <w:pPr>
        <w:pStyle w:val="Textoindependiente21"/>
        <w:ind w:left="720"/>
        <w:jc w:val="both"/>
        <w:rPr>
          <w:sz w:val="22"/>
          <w:szCs w:val="22"/>
        </w:rPr>
      </w:pPr>
    </w:p>
    <w:p w:rsidR="00F845F8" w:rsidRPr="00E33B2F" w:rsidRDefault="00F845F8" w:rsidP="00F845F8">
      <w:pPr>
        <w:pStyle w:val="Textoindependiente21"/>
        <w:jc w:val="both"/>
        <w:rPr>
          <w:bCs/>
          <w:sz w:val="22"/>
          <w:szCs w:val="22"/>
          <w:highlight w:val="cyan"/>
        </w:rPr>
      </w:pPr>
      <w:r w:rsidRPr="00E33B2F">
        <w:rPr>
          <w:bCs/>
          <w:sz w:val="22"/>
          <w:szCs w:val="22"/>
        </w:rPr>
        <w:t xml:space="preserve">El Plan Decenal de salud pública PDSP 2012-2021, plantea los siguientes objetivos: 1) Alcanzar mayor equidad en salud; 2) </w:t>
      </w:r>
      <w:r w:rsidRPr="00E33B2F">
        <w:rPr>
          <w:bCs/>
          <w:sz w:val="22"/>
          <w:szCs w:val="22"/>
          <w:lang w:val="es-CO"/>
        </w:rPr>
        <w:t>Mejorar las condiciones de vida y salud de la población</w:t>
      </w:r>
      <w:r w:rsidRPr="00E33B2F">
        <w:rPr>
          <w:bCs/>
          <w:sz w:val="22"/>
          <w:szCs w:val="22"/>
        </w:rPr>
        <w:t xml:space="preserve">; 3) </w:t>
      </w:r>
      <w:r w:rsidRPr="00E33B2F">
        <w:rPr>
          <w:bCs/>
          <w:sz w:val="22"/>
          <w:szCs w:val="22"/>
          <w:lang w:val="es-CO"/>
        </w:rPr>
        <w:t>Cero tolerancias con la morbilidad, la mortalidad y la discapacidad evitables</w:t>
      </w:r>
    </w:p>
    <w:p w:rsidR="00F845F8" w:rsidRPr="00E33B2F" w:rsidRDefault="00F845F8" w:rsidP="00F845F8">
      <w:pPr>
        <w:pStyle w:val="Textoindependiente21"/>
        <w:jc w:val="both"/>
        <w:rPr>
          <w:bCs/>
          <w:sz w:val="22"/>
          <w:szCs w:val="22"/>
          <w:highlight w:val="cyan"/>
        </w:rPr>
      </w:pPr>
    </w:p>
    <w:p w:rsidR="00F845F8" w:rsidRPr="00E33B2F" w:rsidRDefault="00F845F8" w:rsidP="00F845F8">
      <w:pPr>
        <w:pStyle w:val="Textoindependiente21"/>
        <w:jc w:val="both"/>
        <w:rPr>
          <w:bCs/>
          <w:sz w:val="22"/>
          <w:szCs w:val="22"/>
        </w:rPr>
      </w:pPr>
      <w:r w:rsidRPr="00E33B2F">
        <w:rPr>
          <w:bCs/>
          <w:sz w:val="22"/>
          <w:szCs w:val="22"/>
        </w:rPr>
        <w:t>Así mismo desde el plan se define como líneas prioritarias de intervención, la Dimensión denominada “</w:t>
      </w:r>
      <w:r w:rsidRPr="00E33B2F">
        <w:rPr>
          <w:bCs/>
          <w:sz w:val="22"/>
          <w:szCs w:val="22"/>
          <w:lang w:val="es-CO"/>
        </w:rPr>
        <w:t>Vida Saludable y condiciones no transmisibles</w:t>
      </w:r>
      <w:r w:rsidRPr="00E33B2F">
        <w:rPr>
          <w:bCs/>
          <w:sz w:val="22"/>
          <w:szCs w:val="22"/>
        </w:rPr>
        <w:t>” y la Dimensión “</w:t>
      </w:r>
      <w:r w:rsidRPr="00E33B2F">
        <w:rPr>
          <w:bCs/>
          <w:sz w:val="22"/>
          <w:szCs w:val="22"/>
          <w:lang w:val="es-CO"/>
        </w:rPr>
        <w:t>Modos, condiciones y estilos de vida saludables”</w:t>
      </w:r>
    </w:p>
    <w:p w:rsidR="00F845F8" w:rsidRPr="00E33B2F" w:rsidRDefault="00F845F8" w:rsidP="00F845F8">
      <w:pPr>
        <w:pStyle w:val="Textoindependiente21"/>
        <w:jc w:val="both"/>
        <w:rPr>
          <w:bCs/>
          <w:sz w:val="22"/>
          <w:szCs w:val="22"/>
        </w:rPr>
      </w:pPr>
    </w:p>
    <w:p w:rsidR="00F845F8" w:rsidRPr="00E33B2F" w:rsidRDefault="00F845F8" w:rsidP="00F845F8">
      <w:pPr>
        <w:pStyle w:val="Textoindependiente21"/>
        <w:jc w:val="both"/>
        <w:rPr>
          <w:bCs/>
          <w:sz w:val="22"/>
          <w:szCs w:val="22"/>
        </w:rPr>
      </w:pPr>
      <w:r w:rsidRPr="00E33B2F">
        <w:rPr>
          <w:bCs/>
          <w:sz w:val="22"/>
          <w:szCs w:val="22"/>
        </w:rPr>
        <w:t>Como objetivos de esta dimensión se tienen: a</w:t>
      </w:r>
      <w:r w:rsidRPr="00E33B2F">
        <w:rPr>
          <w:bCs/>
          <w:sz w:val="22"/>
          <w:szCs w:val="22"/>
          <w:lang w:val="es-CO"/>
        </w:rPr>
        <w:t xml:space="preserve">) Elevar, promover e implementar como prioridad en las políticas de todos los sectores y entornos, una agenda intersectorial para la promoción de la salud, el control de las enfermedades no transmisibles (ENT) y las alteraciones de la salud bucal, visual, auditiva y comunicativa, como parte de la lucha contra la pobreza y el desarrollo socioeconómico. b) Favorecer de manera progresiva y sostenida la reducción a la exposición a los factores de riesgo modificables en todas las etapas del transcurso de vida. c) Crear condiciones y capacidad de gestión de los servicios, para mejorar la accesibilidad, atención integral e integrada de las enfermedades no transmisibles (ENT) y las alteraciones de la salud bucal, visual y auditiva, reduciendo brechas en la morbilidad, mortalidad, discapacidad, eventos evitables y en los factores de riesgo </w:t>
      </w:r>
      <w:r w:rsidRPr="00E33B2F">
        <w:rPr>
          <w:bCs/>
          <w:sz w:val="22"/>
          <w:szCs w:val="22"/>
          <w:lang w:val="es-CO"/>
        </w:rPr>
        <w:lastRenderedPageBreak/>
        <w:t>modificables. d) Fortalecer la capacidad del país para gestionar y desarrollar la vigilancia, monitoreo social y económico de las políticas y las intervenciones de salud pública en coherencia con el marco global y regional para ENT incluidas las alteraciones de la salud bucal, visual y auditiva y sus determinantes sociales de la salud. e) Apoyar y fomentar el desarrollo de capacidades nacionales y territoriales para la investigación en materia de promoción de la salud, prevención y control de las ENT incluidas las alteraciones de la salud bucal, visual y auditiva y sus determinantes sociales de la salud.</w:t>
      </w:r>
    </w:p>
    <w:p w:rsidR="00F845F8" w:rsidRPr="00E33B2F" w:rsidRDefault="00F845F8" w:rsidP="00F845F8">
      <w:pPr>
        <w:pStyle w:val="Textoindependiente21"/>
        <w:jc w:val="both"/>
        <w:rPr>
          <w:bCs/>
          <w:sz w:val="22"/>
          <w:szCs w:val="22"/>
        </w:rPr>
      </w:pPr>
    </w:p>
    <w:p w:rsidR="00F845F8" w:rsidRPr="00E33B2F" w:rsidRDefault="00F845F8" w:rsidP="00F845F8">
      <w:pPr>
        <w:pStyle w:val="Textoindependiente21"/>
        <w:jc w:val="both"/>
        <w:rPr>
          <w:bCs/>
          <w:sz w:val="22"/>
          <w:szCs w:val="22"/>
        </w:rPr>
      </w:pPr>
      <w:r w:rsidRPr="00E33B2F">
        <w:rPr>
          <w:bCs/>
          <w:sz w:val="22"/>
          <w:szCs w:val="22"/>
        </w:rPr>
        <w:t xml:space="preserve">Los componentes de estas dimensiones se definen de la siguiente manera: </w:t>
      </w:r>
    </w:p>
    <w:p w:rsidR="00F845F8" w:rsidRPr="00E33B2F" w:rsidRDefault="00F845F8" w:rsidP="00F845F8">
      <w:pPr>
        <w:pStyle w:val="Textoindependiente21"/>
        <w:jc w:val="both"/>
        <w:rPr>
          <w:bCs/>
          <w:sz w:val="22"/>
          <w:szCs w:val="22"/>
        </w:rPr>
      </w:pPr>
    </w:p>
    <w:p w:rsidR="00F845F8" w:rsidRPr="00E33B2F" w:rsidRDefault="00F845F8" w:rsidP="00F845F8">
      <w:pPr>
        <w:pStyle w:val="Textoindependiente21"/>
        <w:jc w:val="both"/>
        <w:rPr>
          <w:sz w:val="22"/>
          <w:szCs w:val="22"/>
        </w:rPr>
      </w:pPr>
      <w:r w:rsidRPr="00E33B2F">
        <w:rPr>
          <w:sz w:val="22"/>
          <w:szCs w:val="22"/>
        </w:rPr>
        <w:t xml:space="preserve">a) Modos, condiciones y estilos de vida saludables </w:t>
      </w:r>
    </w:p>
    <w:p w:rsidR="00F845F8" w:rsidRPr="00E33B2F" w:rsidRDefault="00F845F8" w:rsidP="00F845F8">
      <w:pPr>
        <w:pStyle w:val="Textoindependiente21"/>
        <w:jc w:val="both"/>
        <w:rPr>
          <w:sz w:val="22"/>
          <w:szCs w:val="22"/>
        </w:rPr>
      </w:pPr>
      <w:r w:rsidRPr="00E33B2F">
        <w:rPr>
          <w:sz w:val="22"/>
          <w:szCs w:val="22"/>
        </w:rPr>
        <w:t xml:space="preserve">b) Condiciones crónicas prevalentes </w:t>
      </w:r>
    </w:p>
    <w:p w:rsidR="00F845F8" w:rsidRPr="00E33B2F" w:rsidRDefault="00F845F8" w:rsidP="00F845F8">
      <w:pPr>
        <w:pStyle w:val="Textoindependiente21"/>
        <w:jc w:val="both"/>
        <w:rPr>
          <w:sz w:val="22"/>
          <w:szCs w:val="22"/>
        </w:rPr>
      </w:pPr>
      <w:r w:rsidRPr="00E33B2F">
        <w:rPr>
          <w:sz w:val="22"/>
          <w:szCs w:val="22"/>
        </w:rPr>
        <w:t>c) Protección de la salud en los trabajadores</w:t>
      </w:r>
    </w:p>
    <w:p w:rsidR="00F4137E" w:rsidRPr="00E33B2F" w:rsidRDefault="00F4137E" w:rsidP="00F845F8">
      <w:pPr>
        <w:pStyle w:val="Textoindependiente21"/>
        <w:jc w:val="both"/>
        <w:rPr>
          <w:sz w:val="22"/>
          <w:szCs w:val="22"/>
        </w:rPr>
      </w:pPr>
    </w:p>
    <w:p w:rsidR="00F4137E" w:rsidRPr="00E33B2F" w:rsidRDefault="00F4137E" w:rsidP="00F845F8">
      <w:pPr>
        <w:pStyle w:val="Textoindependiente21"/>
        <w:jc w:val="both"/>
        <w:rPr>
          <w:bCs/>
          <w:sz w:val="22"/>
          <w:szCs w:val="22"/>
        </w:rPr>
      </w:pPr>
      <w:r w:rsidRPr="00E33B2F">
        <w:rPr>
          <w:bCs/>
          <w:sz w:val="22"/>
          <w:szCs w:val="22"/>
        </w:rPr>
        <w:t>Es por lo anterior que, implementar los programas de enfermedades cardiovasculares, diabetes, enfermedad renal crónica, tamizaje cardiovascular, discapacidad, hábitos y estilos de vida saludable, salud bucal visual y auditiva, enfermedades respiratorias, cáncer, adulto mayor y donación de órganos del municipio, requiere garantizar espacios transectoriales y comunitarios que busquen la promoción de la salud, la prevención de enfermedades no trasmisibles, igualmente un pleno ejercicio de diagnóstico y atención integral, que incluya accesibilidad, oportunidad, pertinencia entre otras.</w:t>
      </w:r>
    </w:p>
    <w:p w:rsidR="00EA3D06" w:rsidRPr="00E33B2F" w:rsidRDefault="00EA3D06" w:rsidP="009D3B3A">
      <w:pPr>
        <w:spacing w:after="0" w:line="240" w:lineRule="auto"/>
        <w:jc w:val="center"/>
        <w:rPr>
          <w:rFonts w:ascii="Arial" w:eastAsia="Times New Roman" w:hAnsi="Arial" w:cs="Arial"/>
          <w:b/>
          <w:bCs/>
          <w:lang w:val="es-ES_tradnl" w:eastAsia="es-CO"/>
        </w:rPr>
      </w:pPr>
    </w:p>
    <w:p w:rsidR="00EA3D06" w:rsidRPr="00E33B2F" w:rsidRDefault="00EA3D06" w:rsidP="00EA3D06">
      <w:pPr>
        <w:spacing w:after="160" w:line="259" w:lineRule="auto"/>
        <w:jc w:val="both"/>
        <w:rPr>
          <w:rFonts w:ascii="Arial" w:hAnsi="Arial" w:cs="Arial"/>
        </w:rPr>
      </w:pPr>
      <w:r w:rsidRPr="00E33B2F">
        <w:rPr>
          <w:rFonts w:ascii="Arial" w:hAnsi="Arial" w:cs="Arial"/>
        </w:rPr>
        <w:t xml:space="preserve">La Secretaría de Salud </w:t>
      </w:r>
      <w:r w:rsidR="00E86FA2" w:rsidRPr="00E33B2F">
        <w:rPr>
          <w:rFonts w:ascii="Arial" w:hAnsi="Arial" w:cs="Arial"/>
        </w:rPr>
        <w:t xml:space="preserve">Pública </w:t>
      </w:r>
      <w:r w:rsidRPr="00E33B2F">
        <w:rPr>
          <w:rFonts w:ascii="Arial" w:hAnsi="Arial" w:cs="Arial"/>
        </w:rPr>
        <w:t>y Seguridad Social, requiere contratar los servicios profesionales para el fortalecimiento de las líneas operativas de  promoción de la salud y de gestión del riesgo en salud bucal, para el fomento de las acciones de cuidado  de los dientes como una opción responsable de construcción de proyecto de vida, esto con el fin de aportar a la implementación efectiva de un programa que cumpla con lo dispuesto en el Plan Decenal de salud pública reglamentado por la resolución 1841 de 2013.</w:t>
      </w:r>
      <w:r w:rsidR="000D2AE4" w:rsidRPr="00E33B2F">
        <w:rPr>
          <w:rFonts w:ascii="Arial" w:hAnsi="Arial" w:cs="Arial"/>
        </w:rPr>
        <w:t xml:space="preserve"> </w:t>
      </w:r>
    </w:p>
    <w:p w:rsidR="000A6FB7" w:rsidRPr="00E33B2F" w:rsidRDefault="000A6FB7" w:rsidP="000A6FB7">
      <w:pPr>
        <w:shd w:val="clear" w:color="auto" w:fill="FFFFFF"/>
        <w:spacing w:before="238"/>
        <w:ind w:right="205"/>
        <w:jc w:val="both"/>
        <w:rPr>
          <w:rFonts w:ascii="Arial" w:hAnsi="Arial" w:cs="Arial"/>
        </w:rPr>
      </w:pPr>
      <w:r w:rsidRPr="00E33B2F">
        <w:rPr>
          <w:rFonts w:ascii="Arial" w:hAnsi="Arial" w:cs="Arial"/>
          <w:spacing w:val="-2"/>
          <w:lang w:val="es-ES_tradnl"/>
        </w:rPr>
        <w:t>De igual forma la Resolución 3280 del 2018”</w:t>
      </w:r>
      <w:r w:rsidRPr="00E33B2F">
        <w:rPr>
          <w:rFonts w:ascii="Arial" w:hAnsi="Arial" w:cs="Arial"/>
        </w:rPr>
        <w:t xml:space="preserve"> Por la cual se adoptan los lineamientos técnicos y operativos de la Ruta  integral de atención para la promoción y mantenimiento de la salud y la Ruta integral de atención en salud para la población materno perinatal y se establecen las  directrices para su operación ” exige a nivel del ente territorial en salud, enfocar los intereses en realizar asistencia técnica y acompañamiento a las EAPB e IPS en implementación efectiva de las actividades allí normadas para contribuir a promover la calidad de salud y gestionar el riesgo identificado, desde la dimensión las líneas de trabajo se priorizan en salud bucal. </w:t>
      </w:r>
    </w:p>
    <w:p w:rsidR="00EA3D06" w:rsidRPr="00E33B2F" w:rsidRDefault="00EA3D06" w:rsidP="00EA3D06">
      <w:pPr>
        <w:spacing w:after="160" w:line="259" w:lineRule="auto"/>
        <w:jc w:val="both"/>
        <w:rPr>
          <w:rFonts w:ascii="Arial" w:hAnsi="Arial" w:cs="Arial"/>
        </w:rPr>
      </w:pPr>
      <w:r w:rsidRPr="00E33B2F">
        <w:rPr>
          <w:rFonts w:ascii="Arial" w:hAnsi="Arial" w:cs="Arial"/>
        </w:rPr>
        <w:t xml:space="preserve">En observancia de estas acciones de obligatorio cumplimiento establecidas para las direcciones territoriales de salud, se evidencia la importancia de aportar al logro de las metas nacionales, realizando actividades que propendan por la promoción de la salud y prevención de la enfermedad, para lo cual es importante  contar con un profesional que vele </w:t>
      </w:r>
      <w:r w:rsidRPr="00E33B2F">
        <w:rPr>
          <w:rFonts w:ascii="Arial" w:hAnsi="Arial" w:cs="Arial"/>
        </w:rPr>
        <w:lastRenderedPageBreak/>
        <w:t>por la ejecución de las acciones impartidas con un enfoque que contextualice las estrategias y actividades a desarrollar de manera coherente con la situación real del municipio de Pereira frente a la  salud bucal.</w:t>
      </w:r>
    </w:p>
    <w:p w:rsidR="00EA3D06" w:rsidRPr="00E33B2F" w:rsidRDefault="00EA3D06" w:rsidP="00EA3D06">
      <w:pPr>
        <w:autoSpaceDE w:val="0"/>
        <w:autoSpaceDN w:val="0"/>
        <w:adjustRightInd w:val="0"/>
        <w:spacing w:after="160" w:line="259" w:lineRule="auto"/>
        <w:jc w:val="both"/>
        <w:rPr>
          <w:rFonts w:ascii="Arial" w:hAnsi="Arial" w:cs="Arial"/>
        </w:rPr>
      </w:pPr>
      <w:r w:rsidRPr="00E33B2F">
        <w:rPr>
          <w:rFonts w:ascii="Arial" w:hAnsi="Arial" w:cs="Arial"/>
        </w:rPr>
        <w:t>El plan decenal de salud pública dentro de la Dimensión vida saludable y condiciones no transmisibles incluye el siguiente objetivo:</w:t>
      </w:r>
    </w:p>
    <w:p w:rsidR="00EA3D06" w:rsidRPr="00E33B2F" w:rsidRDefault="00EA3D06" w:rsidP="00EA3D06">
      <w:pPr>
        <w:autoSpaceDE w:val="0"/>
        <w:autoSpaceDN w:val="0"/>
        <w:adjustRightInd w:val="0"/>
        <w:spacing w:after="160" w:line="259" w:lineRule="auto"/>
        <w:contextualSpacing/>
        <w:jc w:val="both"/>
        <w:rPr>
          <w:rFonts w:ascii="Arial" w:hAnsi="Arial" w:cs="Arial"/>
        </w:rPr>
      </w:pPr>
      <w:r w:rsidRPr="00E33B2F">
        <w:rPr>
          <w:rFonts w:ascii="Arial" w:hAnsi="Arial" w:cs="Arial"/>
        </w:rPr>
        <w:t>Apoyar y fomentar el desarrollo de capacidades para la investigación en materia de promoción de la salud, prevención y control de las ENT, incluidas las alteraciones de la salud bucal y sus determinantes sociales.</w:t>
      </w:r>
    </w:p>
    <w:p w:rsidR="00EA3D06" w:rsidRPr="00E33B2F" w:rsidRDefault="00EA3D06" w:rsidP="00EA3D06">
      <w:pPr>
        <w:autoSpaceDE w:val="0"/>
        <w:autoSpaceDN w:val="0"/>
        <w:adjustRightInd w:val="0"/>
        <w:spacing w:after="160" w:line="259" w:lineRule="auto"/>
        <w:jc w:val="both"/>
        <w:rPr>
          <w:rFonts w:ascii="Arial" w:hAnsi="Arial" w:cs="Arial"/>
        </w:rPr>
      </w:pPr>
      <w:r w:rsidRPr="00E33B2F">
        <w:rPr>
          <w:rFonts w:ascii="Arial" w:hAnsi="Arial" w:cs="Arial"/>
        </w:rPr>
        <w:t xml:space="preserve">Las enfermedades bucodentales año tras año ocupan los primeros lugares de la morbilidad en el grupo de edad escolar. </w:t>
      </w:r>
    </w:p>
    <w:p w:rsidR="00EA3D06" w:rsidRPr="00E33B2F" w:rsidRDefault="00EA3D06" w:rsidP="00EA3D06">
      <w:pPr>
        <w:autoSpaceDE w:val="0"/>
        <w:autoSpaceDN w:val="0"/>
        <w:adjustRightInd w:val="0"/>
        <w:spacing w:after="160" w:line="259" w:lineRule="auto"/>
        <w:jc w:val="both"/>
        <w:rPr>
          <w:rFonts w:ascii="Arial" w:hAnsi="Arial" w:cs="Arial"/>
        </w:rPr>
      </w:pPr>
      <w:r w:rsidRPr="00E33B2F">
        <w:rPr>
          <w:rFonts w:ascii="Arial" w:hAnsi="Arial" w:cs="Arial"/>
        </w:rPr>
        <w:t>Por tal motivo es necesario afianzar los procesos de asistencia técnica en las E</w:t>
      </w:r>
      <w:r w:rsidR="000D2AE4" w:rsidRPr="00E33B2F">
        <w:rPr>
          <w:rFonts w:ascii="Arial" w:hAnsi="Arial" w:cs="Arial"/>
        </w:rPr>
        <w:t>A</w:t>
      </w:r>
      <w:r w:rsidRPr="00E33B2F">
        <w:rPr>
          <w:rFonts w:ascii="Arial" w:hAnsi="Arial" w:cs="Arial"/>
        </w:rPr>
        <w:t>P</w:t>
      </w:r>
      <w:r w:rsidR="000D2AE4" w:rsidRPr="00E33B2F">
        <w:rPr>
          <w:rFonts w:ascii="Arial" w:hAnsi="Arial" w:cs="Arial"/>
        </w:rPr>
        <w:t>B</w:t>
      </w:r>
      <w:r w:rsidRPr="00E33B2F">
        <w:rPr>
          <w:rFonts w:ascii="Arial" w:hAnsi="Arial" w:cs="Arial"/>
        </w:rPr>
        <w:t xml:space="preserve"> y su red prestadora de tal forma que se puede mejorar la prestación de los servicios en salud </w:t>
      </w:r>
      <w:r w:rsidR="00F845F8" w:rsidRPr="00E33B2F">
        <w:rPr>
          <w:rFonts w:ascii="Arial" w:hAnsi="Arial" w:cs="Arial"/>
        </w:rPr>
        <w:t>bucodental</w:t>
      </w:r>
      <w:r w:rsidRPr="00E33B2F">
        <w:rPr>
          <w:rFonts w:ascii="Arial" w:hAnsi="Arial" w:cs="Arial"/>
        </w:rPr>
        <w:t>.</w:t>
      </w:r>
    </w:p>
    <w:p w:rsidR="00EA3D06" w:rsidRPr="00E33B2F" w:rsidRDefault="00EA3D06" w:rsidP="00EA3D06">
      <w:pPr>
        <w:autoSpaceDE w:val="0"/>
        <w:autoSpaceDN w:val="0"/>
        <w:adjustRightInd w:val="0"/>
        <w:spacing w:after="160" w:line="259" w:lineRule="auto"/>
        <w:jc w:val="both"/>
        <w:rPr>
          <w:rFonts w:ascii="Arial" w:hAnsi="Arial" w:cs="Arial"/>
        </w:rPr>
      </w:pPr>
      <w:r w:rsidRPr="00E33B2F">
        <w:rPr>
          <w:rFonts w:ascii="Arial" w:hAnsi="Arial" w:cs="Arial"/>
        </w:rPr>
        <w:t xml:space="preserve">Como indicador trazador se mide el índice COP el cual según   resultados de investigación año 2015 se encuentra en 1,6. Lo anterior demuestra un leve descenso pasando de </w:t>
      </w:r>
      <w:proofErr w:type="gramStart"/>
      <w:r w:rsidRPr="00E33B2F">
        <w:rPr>
          <w:rFonts w:ascii="Arial" w:hAnsi="Arial" w:cs="Arial"/>
        </w:rPr>
        <w:t>2  a</w:t>
      </w:r>
      <w:proofErr w:type="gramEnd"/>
      <w:r w:rsidRPr="00E33B2F">
        <w:rPr>
          <w:rFonts w:ascii="Arial" w:hAnsi="Arial" w:cs="Arial"/>
        </w:rPr>
        <w:t xml:space="preserve">  1,6.</w:t>
      </w:r>
    </w:p>
    <w:p w:rsidR="00EA3D06" w:rsidRPr="00E33B2F" w:rsidRDefault="00EA3D06" w:rsidP="00EA3D06">
      <w:pPr>
        <w:autoSpaceDE w:val="0"/>
        <w:autoSpaceDN w:val="0"/>
        <w:adjustRightInd w:val="0"/>
        <w:spacing w:after="160" w:line="259" w:lineRule="auto"/>
        <w:jc w:val="both"/>
        <w:rPr>
          <w:rFonts w:ascii="Arial" w:hAnsi="Arial" w:cs="Arial"/>
        </w:rPr>
      </w:pPr>
      <w:r w:rsidRPr="00E33B2F">
        <w:rPr>
          <w:rFonts w:ascii="Arial" w:hAnsi="Arial" w:cs="Arial"/>
        </w:rPr>
        <w:t>Es importante realizar de manera sistemática un seguimiento a indicadores de producto como son cobertura de controles de placa bacteriana, atención odontológica y aplicación de flúor en barniz en menores de 5 años, aplicación de sellantes, entre otros que dan cuenta de los procesos de intervención preventiva. Así mismo es fundamental realizar seguimiento a la población adulta y adulta mayor, edad en la cual aumenta el riesgo de pérdida y es importante aumentar el índice de conservación dentaria.</w:t>
      </w:r>
    </w:p>
    <w:p w:rsidR="00EA3D06" w:rsidRPr="00E33B2F" w:rsidRDefault="00EA3D06" w:rsidP="00EA3D06">
      <w:pPr>
        <w:autoSpaceDE w:val="0"/>
        <w:autoSpaceDN w:val="0"/>
        <w:adjustRightInd w:val="0"/>
        <w:spacing w:after="160" w:line="259" w:lineRule="auto"/>
        <w:jc w:val="both"/>
        <w:rPr>
          <w:rFonts w:ascii="Arial" w:hAnsi="Arial" w:cs="Arial"/>
          <w:lang w:val="es-ES_tradnl"/>
        </w:rPr>
      </w:pPr>
      <w:r w:rsidRPr="00E33B2F">
        <w:rPr>
          <w:rFonts w:ascii="Arial" w:hAnsi="Arial" w:cs="Arial"/>
        </w:rPr>
        <w:t>No obstante la Secretaría de Salud y Seguridad Social cuenta en la actualidad con personal de planta, el cual es insuficiente para la atención y desarrollo de las políticas y estrategias que contempla el Plan de Desarrollo y particularmente el proyecto denominado</w:t>
      </w:r>
      <w:r w:rsidRPr="00E33B2F">
        <w:rPr>
          <w:rFonts w:ascii="Arial" w:hAnsi="Arial" w:cs="Arial"/>
          <w:lang w:eastAsia="es-CO"/>
        </w:rPr>
        <w:t xml:space="preserve"> </w:t>
      </w:r>
      <w:r w:rsidR="00F845F8" w:rsidRPr="00E33B2F">
        <w:rPr>
          <w:rFonts w:ascii="Arial" w:hAnsi="Arial" w:cs="Arial"/>
          <w:b/>
          <w:lang w:eastAsia="es-CO"/>
        </w:rPr>
        <w:t>FORTALECIMIENTO DEL CONTROL DE ENFERMEDADES CRÓNICAS NO TRANSMISIBLES Y DEGENERATIVAS, CÁNCER DE INTERÉS EPIDEMIOLÓGICO EN EL MUNICIPIO DE PEREIRA</w:t>
      </w:r>
      <w:r w:rsidRPr="00E33B2F">
        <w:rPr>
          <w:rFonts w:ascii="Arial" w:hAnsi="Arial" w:cs="Arial"/>
        </w:rPr>
        <w:t xml:space="preserve"> de ahí que se requiera la contratación de personal profesional y de apoyo para su ejecución de manera eficiente y eficaz dando continuidad a las actividades, programas, labores, procesos administrativos y demás que contribuya en una relación costo beneficio al fortalecimiento de la Administración Municipal desde la Secretaría de Salud y Seguridad Social. </w:t>
      </w:r>
    </w:p>
    <w:p w:rsidR="00EA3D06" w:rsidRPr="00E33B2F" w:rsidRDefault="00EA3D06" w:rsidP="00EA3D06">
      <w:pPr>
        <w:autoSpaceDE w:val="0"/>
        <w:autoSpaceDN w:val="0"/>
        <w:adjustRightInd w:val="0"/>
        <w:spacing w:after="160" w:line="259" w:lineRule="auto"/>
        <w:jc w:val="both"/>
        <w:rPr>
          <w:rFonts w:ascii="Arial" w:hAnsi="Arial" w:cs="Arial"/>
        </w:rPr>
      </w:pPr>
      <w:r w:rsidRPr="00E33B2F">
        <w:rPr>
          <w:rFonts w:ascii="Arial" w:hAnsi="Arial" w:cs="Arial"/>
        </w:rPr>
        <w:t>Lo anterior permite con</w:t>
      </w:r>
      <w:r w:rsidR="00E86FA2" w:rsidRPr="00E33B2F">
        <w:rPr>
          <w:rFonts w:ascii="Arial" w:hAnsi="Arial" w:cs="Arial"/>
        </w:rPr>
        <w:t>tribuir con el cumplimiento d</w:t>
      </w:r>
      <w:r w:rsidRPr="00E33B2F">
        <w:rPr>
          <w:rFonts w:ascii="Arial" w:hAnsi="Arial" w:cs="Arial"/>
        </w:rPr>
        <w:t>el porcentaje de ejecución anual del plan territorial de salud, y las competencias</w:t>
      </w:r>
      <w:r w:rsidR="00600729" w:rsidRPr="00E33B2F">
        <w:rPr>
          <w:rFonts w:ascii="Arial" w:hAnsi="Arial" w:cs="Arial"/>
        </w:rPr>
        <w:t xml:space="preserve"> </w:t>
      </w:r>
      <w:proofErr w:type="gramStart"/>
      <w:r w:rsidR="00600729" w:rsidRPr="00E33B2F">
        <w:rPr>
          <w:rFonts w:ascii="Arial" w:hAnsi="Arial" w:cs="Arial"/>
        </w:rPr>
        <w:t xml:space="preserve">asignadas </w:t>
      </w:r>
      <w:r w:rsidRPr="00E33B2F">
        <w:rPr>
          <w:rFonts w:ascii="Arial" w:hAnsi="Arial" w:cs="Arial"/>
        </w:rPr>
        <w:t xml:space="preserve"> la</w:t>
      </w:r>
      <w:proofErr w:type="gramEnd"/>
      <w:r w:rsidRPr="00E33B2F">
        <w:rPr>
          <w:rFonts w:ascii="Arial" w:hAnsi="Arial" w:cs="Arial"/>
        </w:rPr>
        <w:t xml:space="preserve"> 715 de 2001, el Plan Decena</w:t>
      </w:r>
      <w:r w:rsidR="00D94A07" w:rsidRPr="00E33B2F">
        <w:rPr>
          <w:rFonts w:ascii="Arial" w:hAnsi="Arial" w:cs="Arial"/>
        </w:rPr>
        <w:t>l de salud pública</w:t>
      </w:r>
    </w:p>
    <w:p w:rsidR="00970DD3" w:rsidRPr="00E33B2F" w:rsidRDefault="00970DD3" w:rsidP="00D94A07">
      <w:pPr>
        <w:autoSpaceDE w:val="0"/>
        <w:autoSpaceDN w:val="0"/>
        <w:adjustRightInd w:val="0"/>
        <w:spacing w:after="0" w:line="240" w:lineRule="auto"/>
        <w:jc w:val="both"/>
        <w:rPr>
          <w:rFonts w:ascii="Arial" w:hAnsi="Arial" w:cs="Arial"/>
        </w:rPr>
      </w:pPr>
      <w:r w:rsidRPr="00E33B2F">
        <w:rPr>
          <w:rFonts w:ascii="Arial" w:hAnsi="Arial" w:cs="Arial"/>
        </w:rPr>
        <w:lastRenderedPageBreak/>
        <w:t>La Secretaría de Salud Pública y Seguridad Social la cual tiene como propósito</w:t>
      </w:r>
      <w:r w:rsidR="00D94A07" w:rsidRPr="00E33B2F">
        <w:rPr>
          <w:rFonts w:ascii="Arial" w:hAnsi="Arial" w:cs="Arial"/>
        </w:rPr>
        <w:t xml:space="preserve"> </w:t>
      </w:r>
      <w:r w:rsidRPr="00E33B2F">
        <w:rPr>
          <w:rFonts w:ascii="Arial" w:hAnsi="Arial" w:cs="Arial"/>
        </w:rPr>
        <w:t>garantizar el derecho a la salud en el territorio de ac</w:t>
      </w:r>
      <w:r w:rsidR="00D94A07" w:rsidRPr="00E33B2F">
        <w:rPr>
          <w:rFonts w:ascii="Arial" w:hAnsi="Arial" w:cs="Arial"/>
        </w:rPr>
        <w:t xml:space="preserve">uerdo a la Política de Atención </w:t>
      </w:r>
      <w:r w:rsidRPr="00E33B2F">
        <w:rPr>
          <w:rFonts w:ascii="Arial" w:hAnsi="Arial" w:cs="Arial"/>
        </w:rPr>
        <w:t>Integral en Salud (PAIS), actualmente a través de acc</w:t>
      </w:r>
      <w:r w:rsidR="00D94A07" w:rsidRPr="00E33B2F">
        <w:rPr>
          <w:rFonts w:ascii="Arial" w:hAnsi="Arial" w:cs="Arial"/>
        </w:rPr>
        <w:t xml:space="preserve">iones territoriales especificas </w:t>
      </w:r>
      <w:r w:rsidRPr="00E33B2F">
        <w:rPr>
          <w:rFonts w:ascii="Arial" w:hAnsi="Arial" w:cs="Arial"/>
        </w:rPr>
        <w:t>fundamentadas en el Modelo de Acción Integral Territ</w:t>
      </w:r>
      <w:r w:rsidR="00D94A07" w:rsidRPr="00E33B2F">
        <w:rPr>
          <w:rFonts w:ascii="Arial" w:hAnsi="Arial" w:cs="Arial"/>
        </w:rPr>
        <w:t>orial MAITE (Resolución 2626 de</w:t>
      </w:r>
      <w:r w:rsidRPr="00E33B2F">
        <w:rPr>
          <w:rFonts w:ascii="Arial" w:hAnsi="Arial" w:cs="Arial"/>
        </w:rPr>
        <w:t>2019)</w:t>
      </w:r>
    </w:p>
    <w:p w:rsidR="00D94A07" w:rsidRPr="00E33B2F" w:rsidRDefault="00D94A07" w:rsidP="00D94A07">
      <w:pPr>
        <w:autoSpaceDE w:val="0"/>
        <w:autoSpaceDN w:val="0"/>
        <w:adjustRightInd w:val="0"/>
        <w:spacing w:after="0" w:line="240" w:lineRule="auto"/>
        <w:jc w:val="both"/>
        <w:rPr>
          <w:rFonts w:ascii="Arial" w:hAnsi="Arial" w:cs="Arial"/>
        </w:rPr>
      </w:pPr>
    </w:p>
    <w:p w:rsidR="00970DD3" w:rsidRPr="00E33B2F" w:rsidRDefault="00970DD3" w:rsidP="00D94A07">
      <w:pPr>
        <w:autoSpaceDE w:val="0"/>
        <w:autoSpaceDN w:val="0"/>
        <w:adjustRightInd w:val="0"/>
        <w:spacing w:after="160" w:line="259" w:lineRule="auto"/>
        <w:jc w:val="both"/>
        <w:rPr>
          <w:rFonts w:ascii="Arial" w:hAnsi="Arial" w:cs="Arial"/>
        </w:rPr>
      </w:pPr>
      <w:r w:rsidRPr="00E33B2F">
        <w:rPr>
          <w:rFonts w:ascii="Arial" w:hAnsi="Arial" w:cs="Arial"/>
        </w:rPr>
        <w:t>10.1.4. SALUD Y PROTECCIÓN SOCIAL 10.1.4.</w:t>
      </w:r>
      <w:proofErr w:type="gramStart"/>
      <w:r w:rsidRPr="00E33B2F">
        <w:rPr>
          <w:rFonts w:ascii="Arial" w:hAnsi="Arial" w:cs="Arial"/>
        </w:rPr>
        <w:t>1.OBJETIVO</w:t>
      </w:r>
      <w:proofErr w:type="gramEnd"/>
      <w:r w:rsidRPr="00E33B2F">
        <w:rPr>
          <w:rFonts w:ascii="Arial" w:hAnsi="Arial" w:cs="Arial"/>
        </w:rPr>
        <w:t xml:space="preserve">: Mejorar los estándares de calidad y satisfacción de usuarios al acceso del sistema de salud municipal para mejorar el estado de salud de la población Pereirana </w:t>
      </w:r>
    </w:p>
    <w:p w:rsidR="00970DD3" w:rsidRPr="00E33B2F" w:rsidRDefault="00970DD3" w:rsidP="00D94A07">
      <w:pPr>
        <w:autoSpaceDE w:val="0"/>
        <w:autoSpaceDN w:val="0"/>
        <w:adjustRightInd w:val="0"/>
        <w:spacing w:after="160" w:line="259" w:lineRule="auto"/>
        <w:jc w:val="both"/>
        <w:rPr>
          <w:rFonts w:ascii="Arial" w:hAnsi="Arial" w:cs="Arial"/>
          <w:lang w:val="es-ES_tradnl"/>
        </w:rPr>
      </w:pPr>
      <w:r w:rsidRPr="00E33B2F">
        <w:rPr>
          <w:rFonts w:ascii="Arial" w:hAnsi="Arial" w:cs="Arial"/>
        </w:rPr>
        <w:t>10.1.4.2. PROGRAMA: MÁS ASEGURAMIENTO CON EQUIDAD El programa está dirigido a garantizar el acceso universal a la salud, en condiciones de calidad, eficiencia, equidad y sostenibilidad, dando cumplimiento a la legislación existente a nivel local, departamental, nacional e internacional. Mejorar la cobertura en términos de afiliación al Sistema General de Seguridad Social en Salud. Igualmente incluye la asistencia técnica para el mejoramiento de sistema obligatorio de garantía de la calidad.</w:t>
      </w:r>
    </w:p>
    <w:p w:rsidR="00EA3D06" w:rsidRPr="00E33B2F" w:rsidRDefault="00970DD3" w:rsidP="00D94A07">
      <w:pPr>
        <w:spacing w:after="0" w:line="240" w:lineRule="auto"/>
        <w:jc w:val="both"/>
        <w:rPr>
          <w:rFonts w:ascii="Arial" w:hAnsi="Arial" w:cs="Arial"/>
        </w:rPr>
      </w:pPr>
      <w:r w:rsidRPr="00E33B2F">
        <w:rPr>
          <w:rFonts w:ascii="Arial" w:hAnsi="Arial" w:cs="Arial"/>
        </w:rPr>
        <w:t>10.1.4.2.1. PRODUCTOS:</w:t>
      </w:r>
      <w:r w:rsidR="00D94A07" w:rsidRPr="00E33B2F">
        <w:rPr>
          <w:rFonts w:ascii="Arial" w:hAnsi="Arial" w:cs="Arial"/>
        </w:rPr>
        <w:t xml:space="preserve"> </w:t>
      </w:r>
      <w:r w:rsidRPr="00E33B2F">
        <w:rPr>
          <w:rFonts w:ascii="Arial" w:hAnsi="Arial" w:cs="Arial"/>
        </w:rPr>
        <w:t>Instituciones prestadoras de servicios de salud con incremento en el cumplimiento de normatividad en atención en salud bucal: Se realizarán visitas de asistencia técnica y/o seguimiento a planes de mejoramiento a las EAPB (12) e IPS priorizadas por la Secretaria de Salud Pública y Seguridad Social para dar cumplimiento a los lineamientos nacionales para la salud bucal como respuesta integral a promover el acceso y abordaje efectivo de los usuarios, contribuir en la prevención y manejo condiciones crónicas prevalente.</w:t>
      </w:r>
    </w:p>
    <w:p w:rsidR="00D94A07" w:rsidRPr="00E33B2F" w:rsidRDefault="00D94A07" w:rsidP="00D94A07">
      <w:pPr>
        <w:spacing w:after="0" w:line="240" w:lineRule="auto"/>
        <w:jc w:val="both"/>
        <w:rPr>
          <w:rFonts w:ascii="Arial" w:hAnsi="Arial" w:cs="Arial"/>
        </w:rPr>
      </w:pPr>
    </w:p>
    <w:p w:rsidR="00D6016A" w:rsidRPr="00E33B2F" w:rsidRDefault="00970DD3" w:rsidP="00D94A07">
      <w:pPr>
        <w:autoSpaceDE w:val="0"/>
        <w:autoSpaceDN w:val="0"/>
        <w:adjustRightInd w:val="0"/>
        <w:spacing w:after="0" w:line="240" w:lineRule="auto"/>
        <w:jc w:val="both"/>
        <w:rPr>
          <w:rFonts w:ascii="Arial" w:hAnsi="Arial" w:cs="Arial"/>
        </w:rPr>
      </w:pPr>
      <w:r w:rsidRPr="00E33B2F">
        <w:rPr>
          <w:rFonts w:ascii="Arial" w:hAnsi="Arial" w:cs="Arial"/>
        </w:rPr>
        <w:t>Lo anterior, de acuerdo a los lineamientos p</w:t>
      </w:r>
      <w:r w:rsidR="00D94A07" w:rsidRPr="00E33B2F">
        <w:rPr>
          <w:rFonts w:ascii="Arial" w:hAnsi="Arial" w:cs="Arial"/>
        </w:rPr>
        <w:t xml:space="preserve">lanteados desde el Plan Decenal </w:t>
      </w:r>
      <w:r w:rsidRPr="00E33B2F">
        <w:rPr>
          <w:rFonts w:ascii="Arial" w:hAnsi="Arial" w:cs="Arial"/>
        </w:rPr>
        <w:t xml:space="preserve">de Salud </w:t>
      </w:r>
      <w:proofErr w:type="gramStart"/>
      <w:r w:rsidRPr="00E33B2F">
        <w:rPr>
          <w:rFonts w:ascii="Arial" w:hAnsi="Arial" w:cs="Arial"/>
        </w:rPr>
        <w:t xml:space="preserve">Pública </w:t>
      </w:r>
      <w:r w:rsidR="00D94A07" w:rsidRPr="00E33B2F">
        <w:rPr>
          <w:rFonts w:ascii="Arial" w:hAnsi="Arial" w:cs="Arial"/>
        </w:rPr>
        <w:t>,</w:t>
      </w:r>
      <w:proofErr w:type="gramEnd"/>
      <w:r w:rsidR="00D94A07" w:rsidRPr="00E33B2F">
        <w:rPr>
          <w:rFonts w:ascii="Arial" w:hAnsi="Arial" w:cs="Arial"/>
        </w:rPr>
        <w:t xml:space="preserve"> La Política de Atención Integral en Salud y </w:t>
      </w:r>
      <w:r w:rsidRPr="00E33B2F">
        <w:rPr>
          <w:rFonts w:ascii="Arial" w:hAnsi="Arial" w:cs="Arial"/>
        </w:rPr>
        <w:t>el Modelo de acción integral territorial en salud (MAITE).</w:t>
      </w:r>
      <w:r w:rsidR="00D94A07" w:rsidRPr="00E33B2F">
        <w:rPr>
          <w:rFonts w:ascii="Arial" w:hAnsi="Arial" w:cs="Arial"/>
        </w:rPr>
        <w:t>y lo,</w:t>
      </w:r>
      <w:r w:rsidR="00D6016A" w:rsidRPr="00E33B2F">
        <w:rPr>
          <w:rFonts w:ascii="Arial" w:hAnsi="Arial" w:cs="Arial"/>
        </w:rPr>
        <w:t xml:space="preserve"> </w:t>
      </w:r>
      <w:r w:rsidR="00D94A07" w:rsidRPr="00E33B2F">
        <w:rPr>
          <w:rFonts w:ascii="Arial" w:hAnsi="Arial" w:cs="Arial"/>
        </w:rPr>
        <w:t xml:space="preserve">planteado desde </w:t>
      </w:r>
      <w:r w:rsidRPr="00E33B2F">
        <w:rPr>
          <w:rFonts w:ascii="Arial" w:hAnsi="Arial" w:cs="Arial"/>
        </w:rPr>
        <w:t xml:space="preserve"> </w:t>
      </w:r>
      <w:r w:rsidR="00D94A07" w:rsidRPr="00E33B2F">
        <w:rPr>
          <w:rFonts w:ascii="Arial" w:hAnsi="Arial" w:cs="Arial"/>
        </w:rPr>
        <w:t>Las Rutas de Atención Integral en Salud</w:t>
      </w:r>
      <w:r w:rsidR="00D6016A" w:rsidRPr="00E33B2F">
        <w:rPr>
          <w:rFonts w:ascii="Arial" w:hAnsi="Arial" w:cs="Arial"/>
        </w:rPr>
        <w:t>.</w:t>
      </w:r>
    </w:p>
    <w:p w:rsidR="00970DD3" w:rsidRPr="00E33B2F" w:rsidRDefault="00970DD3" w:rsidP="00D94A07">
      <w:pPr>
        <w:autoSpaceDE w:val="0"/>
        <w:autoSpaceDN w:val="0"/>
        <w:adjustRightInd w:val="0"/>
        <w:spacing w:after="0" w:line="240" w:lineRule="auto"/>
        <w:jc w:val="both"/>
        <w:rPr>
          <w:rFonts w:ascii="Arial" w:hAnsi="Arial" w:cs="Arial"/>
        </w:rPr>
      </w:pPr>
    </w:p>
    <w:p w:rsidR="003A258B" w:rsidRPr="00E33B2F" w:rsidRDefault="003A258B"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tbl>
      <w:tblPr>
        <w:tblW w:w="8838" w:type="dxa"/>
        <w:tblCellMar>
          <w:left w:w="70" w:type="dxa"/>
          <w:right w:w="70" w:type="dxa"/>
        </w:tblCellMar>
        <w:tblLook w:val="04A0" w:firstRow="1" w:lastRow="0" w:firstColumn="1" w:lastColumn="0" w:noHBand="0" w:noVBand="1"/>
      </w:tblPr>
      <w:tblGrid>
        <w:gridCol w:w="8838"/>
      </w:tblGrid>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center"/>
              <w:rPr>
                <w:rFonts w:ascii="Arial" w:eastAsia="Times New Roman" w:hAnsi="Arial" w:cs="Arial"/>
                <w:b/>
                <w:bCs/>
                <w:color w:val="000000"/>
                <w:lang w:eastAsia="es-CO"/>
              </w:rPr>
            </w:pPr>
            <w:r w:rsidRPr="00E33B2F">
              <w:rPr>
                <w:rFonts w:ascii="Arial" w:eastAsia="Times New Roman" w:hAnsi="Arial" w:cs="Arial"/>
                <w:b/>
                <w:bCs/>
                <w:color w:val="000000"/>
                <w:lang w:eastAsia="es-CO"/>
              </w:rPr>
              <w:t>PLAN DE DESARROLLO 2020-2023</w:t>
            </w: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center"/>
              <w:rPr>
                <w:rFonts w:ascii="Arial" w:eastAsia="Times New Roman" w:hAnsi="Arial" w:cs="Arial"/>
                <w:b/>
                <w:bCs/>
                <w:color w:val="000000"/>
                <w:lang w:eastAsia="es-CO"/>
              </w:rPr>
            </w:pP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lang w:eastAsia="es-CO"/>
              </w:rPr>
            </w:pP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r w:rsidRPr="00E33B2F">
              <w:rPr>
                <w:rFonts w:ascii="Arial" w:eastAsia="Times New Roman" w:hAnsi="Arial" w:cs="Arial"/>
                <w:b/>
                <w:bCs/>
                <w:color w:val="000000"/>
                <w:lang w:eastAsia="es-CO"/>
              </w:rPr>
              <w:t>1.    LINEA ESTRATEGICA:</w:t>
            </w:r>
            <w:r w:rsidRPr="00E33B2F">
              <w:rPr>
                <w:rFonts w:ascii="Arial" w:eastAsia="Times New Roman" w:hAnsi="Arial" w:cs="Arial"/>
                <w:color w:val="000000"/>
                <w:lang w:eastAsia="es-CO"/>
              </w:rPr>
              <w:t xml:space="preserve"> PEREIRA PARA LA GENTE</w:t>
            </w: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p>
        </w:tc>
      </w:tr>
      <w:tr w:rsidR="00E33B2F" w:rsidRPr="00E33B2F" w:rsidTr="00E33B2F">
        <w:trPr>
          <w:trHeight w:val="585"/>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r w:rsidRPr="00E33B2F">
              <w:rPr>
                <w:rFonts w:ascii="Arial" w:eastAsia="Times New Roman" w:hAnsi="Arial" w:cs="Arial"/>
                <w:b/>
                <w:bCs/>
                <w:color w:val="000000"/>
                <w:lang w:eastAsia="es-CO"/>
              </w:rPr>
              <w:t>2.    PROGRAMA:</w:t>
            </w:r>
            <w:r w:rsidRPr="00E33B2F">
              <w:rPr>
                <w:rFonts w:ascii="Arial" w:eastAsia="Times New Roman" w:hAnsi="Arial" w:cs="Arial"/>
                <w:color w:val="000000"/>
                <w:lang w:eastAsia="es-CO"/>
              </w:rPr>
              <w:t xml:space="preserve"> MAS SALUD, CON CALIDAD Y EFICIENCIA PARA LA GENTE</w:t>
            </w: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r w:rsidRPr="00E33B2F">
              <w:rPr>
                <w:rFonts w:ascii="Arial" w:eastAsia="Times New Roman" w:hAnsi="Arial" w:cs="Arial"/>
                <w:b/>
                <w:bCs/>
                <w:color w:val="000000"/>
                <w:lang w:eastAsia="es-CO"/>
              </w:rPr>
              <w:t>3.    SECTOR:</w:t>
            </w:r>
            <w:r w:rsidRPr="00E33B2F">
              <w:rPr>
                <w:rFonts w:ascii="Arial" w:eastAsia="Times New Roman" w:hAnsi="Arial" w:cs="Arial"/>
                <w:color w:val="000000"/>
                <w:lang w:eastAsia="es-CO"/>
              </w:rPr>
              <w:t xml:space="preserve"> SALUD Y PROTECCION SOCIAL</w:t>
            </w: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p>
        </w:tc>
      </w:tr>
      <w:tr w:rsidR="00E33B2F" w:rsidRPr="00E33B2F" w:rsidTr="00E33B2F">
        <w:trPr>
          <w:trHeight w:val="1155"/>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r w:rsidRPr="00E33B2F">
              <w:rPr>
                <w:rFonts w:ascii="Arial" w:eastAsia="Times New Roman" w:hAnsi="Arial" w:cs="Arial"/>
                <w:b/>
                <w:bCs/>
                <w:color w:val="000000"/>
                <w:lang w:eastAsia="es-CO"/>
              </w:rPr>
              <w:t>4.    PROYECTO:</w:t>
            </w:r>
            <w:r w:rsidRPr="00E33B2F">
              <w:rPr>
                <w:rFonts w:ascii="Arial" w:eastAsia="Times New Roman" w:hAnsi="Arial" w:cs="Arial"/>
                <w:color w:val="000000"/>
                <w:lang w:eastAsia="es-CO"/>
              </w:rPr>
              <w:t xml:space="preserve"> </w:t>
            </w:r>
            <w:r w:rsidRPr="00E33B2F">
              <w:rPr>
                <w:rFonts w:ascii="Arial" w:hAnsi="Arial" w:cs="Arial"/>
              </w:rPr>
              <w:t>2020660010059 FORTALECIMIENTO DE LA SALUD BUCAL EN EL MUNICIPIO DE PEREIRA</w:t>
            </w: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r w:rsidRPr="00E33B2F">
              <w:rPr>
                <w:rFonts w:ascii="Arial" w:eastAsia="Times New Roman" w:hAnsi="Arial" w:cs="Arial"/>
                <w:b/>
                <w:bCs/>
                <w:color w:val="000000"/>
                <w:lang w:eastAsia="es-CO"/>
              </w:rPr>
              <w:t xml:space="preserve">5.    </w:t>
            </w:r>
            <w:r w:rsidRPr="00E33B2F">
              <w:rPr>
                <w:rFonts w:ascii="Arial" w:eastAsia="Times New Roman" w:hAnsi="Arial" w:cs="Arial"/>
                <w:color w:val="000000"/>
                <w:lang w:eastAsia="es-CO"/>
              </w:rPr>
              <w:t>C</w:t>
            </w:r>
            <w:r w:rsidRPr="00E33B2F">
              <w:rPr>
                <w:rFonts w:ascii="Arial" w:eastAsia="Times New Roman" w:hAnsi="Arial" w:cs="Arial"/>
                <w:b/>
                <w:bCs/>
                <w:color w:val="000000"/>
                <w:lang w:eastAsia="es-CO"/>
              </w:rPr>
              <w:t>OMPONENTE:</w:t>
            </w:r>
            <w:r w:rsidRPr="00E33B2F">
              <w:rPr>
                <w:rFonts w:ascii="Arial" w:eastAsia="Times New Roman" w:hAnsi="Arial" w:cs="Arial"/>
                <w:color w:val="000000"/>
                <w:lang w:eastAsia="es-CO"/>
              </w:rPr>
              <w:t xml:space="preserve"> OTROS</w:t>
            </w: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p>
        </w:tc>
      </w:tr>
      <w:tr w:rsidR="00E33B2F" w:rsidRPr="00E33B2F" w:rsidTr="00E33B2F">
        <w:trPr>
          <w:trHeight w:val="585"/>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r w:rsidRPr="00E33B2F">
              <w:rPr>
                <w:rFonts w:ascii="Arial" w:eastAsia="Times New Roman" w:hAnsi="Arial" w:cs="Arial"/>
                <w:b/>
                <w:bCs/>
                <w:color w:val="000000"/>
                <w:lang w:eastAsia="es-CO"/>
              </w:rPr>
              <w:t>6.    ACTIVIDAD:</w:t>
            </w:r>
            <w:r w:rsidRPr="00E33B2F">
              <w:rPr>
                <w:rFonts w:ascii="Arial" w:eastAsia="Times New Roman" w:hAnsi="Arial" w:cs="Arial"/>
                <w:color w:val="000000"/>
                <w:lang w:eastAsia="es-CO"/>
              </w:rPr>
              <w:t xml:space="preserve"> </w:t>
            </w:r>
            <w:r w:rsidRPr="00E33B2F">
              <w:rPr>
                <w:rFonts w:ascii="Arial" w:hAnsi="Arial" w:cs="Arial"/>
              </w:rPr>
              <w:t>VIGILANCIA, CONTROL Y ACOMPAÑAMIENTO A LA ATENCIÓN Y RECUPERACIÓN DE LA SALUD</w:t>
            </w: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ind w:firstLineChars="500" w:firstLine="1100"/>
              <w:rPr>
                <w:rFonts w:ascii="Arial" w:eastAsia="Times New Roman" w:hAnsi="Arial" w:cs="Arial"/>
                <w:lang w:eastAsia="es-CO"/>
              </w:rPr>
            </w:pPr>
          </w:p>
        </w:tc>
      </w:tr>
      <w:tr w:rsidR="00E33B2F" w:rsidRPr="00E33B2F" w:rsidTr="00E33B2F">
        <w:trPr>
          <w:trHeight w:val="3150"/>
        </w:trPr>
        <w:tc>
          <w:tcPr>
            <w:tcW w:w="8838" w:type="dxa"/>
            <w:tcBorders>
              <w:top w:val="nil"/>
              <w:left w:val="nil"/>
              <w:bottom w:val="nil"/>
              <w:right w:val="nil"/>
            </w:tcBorders>
            <w:shd w:val="clear" w:color="auto" w:fill="auto"/>
            <w:vAlign w:val="center"/>
            <w:hideMark/>
          </w:tcPr>
          <w:p w:rsidR="00E33B2F" w:rsidRPr="00E33B2F" w:rsidRDefault="00E33B2F" w:rsidP="00E33B2F">
            <w:pPr>
              <w:jc w:val="both"/>
              <w:rPr>
                <w:rFonts w:ascii="Arial" w:hAnsi="Arial" w:cs="Arial"/>
              </w:rPr>
            </w:pPr>
            <w:r w:rsidRPr="00E33B2F">
              <w:rPr>
                <w:rFonts w:ascii="Arial" w:eastAsia="Times New Roman" w:hAnsi="Arial" w:cs="Arial"/>
                <w:b/>
                <w:bCs/>
                <w:color w:val="000000"/>
                <w:lang w:eastAsia="es-CO"/>
              </w:rPr>
              <w:t xml:space="preserve">7.    META DE BIENESTAR:  </w:t>
            </w:r>
            <w:r w:rsidRPr="00E33B2F">
              <w:rPr>
                <w:rFonts w:ascii="Arial" w:hAnsi="Arial" w:cs="Arial"/>
              </w:rPr>
              <w:t xml:space="preserve">100% de IPS priorizadas con asistencia técnica en cuanto </w:t>
            </w:r>
            <w:proofErr w:type="gramStart"/>
            <w:r w:rsidRPr="00E33B2F">
              <w:rPr>
                <w:rFonts w:ascii="Arial" w:hAnsi="Arial" w:cs="Arial"/>
              </w:rPr>
              <w:t>a  normatividad</w:t>
            </w:r>
            <w:proofErr w:type="gramEnd"/>
            <w:r w:rsidRPr="00E33B2F">
              <w:rPr>
                <w:rFonts w:ascii="Arial" w:hAnsi="Arial" w:cs="Arial"/>
              </w:rPr>
              <w:t xml:space="preserve"> en atención en salud bucal</w:t>
            </w:r>
          </w:p>
          <w:p w:rsidR="00E33B2F" w:rsidRPr="00E33B2F" w:rsidRDefault="00E33B2F" w:rsidP="00E33B2F">
            <w:pPr>
              <w:spacing w:after="0" w:line="240" w:lineRule="auto"/>
              <w:rPr>
                <w:rFonts w:ascii="Arial" w:eastAsia="Times New Roman" w:hAnsi="Arial" w:cs="Arial"/>
                <w:b/>
                <w:bCs/>
                <w:color w:val="000000"/>
                <w:lang w:eastAsia="es-CO"/>
              </w:rPr>
            </w:pPr>
            <w:r w:rsidRPr="00E33B2F">
              <w:rPr>
                <w:rFonts w:ascii="Arial" w:hAnsi="Arial" w:cs="Arial"/>
              </w:rPr>
              <w:t>Mantener por debajo de 1,6 el índice COP modificado en población de 12 años de edad</w:t>
            </w:r>
          </w:p>
        </w:tc>
      </w:tr>
      <w:tr w:rsidR="00E33B2F" w:rsidRPr="00E33B2F" w:rsidTr="00E33B2F">
        <w:trPr>
          <w:trHeight w:val="300"/>
        </w:trPr>
        <w:tc>
          <w:tcPr>
            <w:tcW w:w="8838" w:type="dxa"/>
            <w:tcBorders>
              <w:top w:val="nil"/>
              <w:left w:val="nil"/>
              <w:bottom w:val="nil"/>
              <w:right w:val="nil"/>
            </w:tcBorders>
            <w:shd w:val="clear" w:color="auto" w:fill="auto"/>
            <w:noWrap/>
            <w:vAlign w:val="bottom"/>
            <w:hideMark/>
          </w:tcPr>
          <w:p w:rsidR="00E33B2F" w:rsidRPr="00E33B2F" w:rsidRDefault="00E33B2F" w:rsidP="00E33B2F">
            <w:pPr>
              <w:spacing w:after="0" w:line="240" w:lineRule="auto"/>
              <w:rPr>
                <w:rFonts w:ascii="Arial" w:eastAsia="Times New Roman" w:hAnsi="Arial" w:cs="Arial"/>
                <w:b/>
                <w:bCs/>
                <w:color w:val="000000"/>
                <w:lang w:eastAsia="es-CO"/>
              </w:rPr>
            </w:pPr>
          </w:p>
        </w:tc>
      </w:tr>
      <w:tr w:rsidR="00E33B2F" w:rsidRPr="00E33B2F" w:rsidTr="00E33B2F">
        <w:trPr>
          <w:trHeight w:val="6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r w:rsidRPr="00E33B2F">
              <w:rPr>
                <w:rFonts w:ascii="Arial" w:eastAsia="Times New Roman" w:hAnsi="Arial" w:cs="Arial"/>
                <w:b/>
                <w:bCs/>
                <w:color w:val="000000"/>
                <w:lang w:eastAsia="es-CO"/>
              </w:rPr>
              <w:t>VALOR:</w:t>
            </w:r>
            <w:r w:rsidRPr="00E33B2F">
              <w:rPr>
                <w:rFonts w:ascii="Arial" w:eastAsia="Times New Roman" w:hAnsi="Arial" w:cs="Arial"/>
                <w:color w:val="000000"/>
                <w:lang w:eastAsia="es-CO"/>
              </w:rPr>
              <w:t xml:space="preserve"> </w:t>
            </w:r>
            <w:r w:rsidRPr="00E33B2F">
              <w:rPr>
                <w:rFonts w:ascii="Arial" w:eastAsia="Times New Roman" w:hAnsi="Arial" w:cs="Arial"/>
                <w:b/>
                <w:bCs/>
                <w:color w:val="000000"/>
                <w:lang w:eastAsia="es-CO"/>
              </w:rPr>
              <w:t>SEIS MILLONES QUINIENTOS NOVENTA Y OCHO MIL PESOS MCTE ($ 6.598.000,00)</w:t>
            </w: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p>
        </w:tc>
      </w:tr>
      <w:tr w:rsidR="00E33B2F" w:rsidRPr="00E33B2F" w:rsidTr="00E33B2F">
        <w:trPr>
          <w:trHeight w:val="1440"/>
        </w:trPr>
        <w:tc>
          <w:tcPr>
            <w:tcW w:w="8838" w:type="dxa"/>
            <w:tcBorders>
              <w:top w:val="nil"/>
              <w:left w:val="nil"/>
              <w:bottom w:val="nil"/>
              <w:right w:val="nil"/>
            </w:tcBorders>
            <w:shd w:val="clear" w:color="auto" w:fill="auto"/>
            <w:noWrap/>
            <w:vAlign w:val="center"/>
            <w:hideMark/>
          </w:tcPr>
          <w:p w:rsidR="001E235A" w:rsidRDefault="00E33B2F" w:rsidP="001E235A">
            <w:pPr>
              <w:pStyle w:val="Sinespaciado"/>
            </w:pPr>
            <w:r w:rsidRPr="00E33B2F">
              <w:rPr>
                <w:rFonts w:ascii="Arial" w:eastAsia="Times New Roman" w:hAnsi="Arial" w:cs="Arial"/>
                <w:b/>
                <w:bCs/>
                <w:color w:val="000000"/>
                <w:lang w:eastAsia="es-CO"/>
              </w:rPr>
              <w:lastRenderedPageBreak/>
              <w:t>PLAZO:</w:t>
            </w:r>
            <w:r w:rsidRPr="00E33B2F">
              <w:rPr>
                <w:rFonts w:ascii="Arial" w:eastAsia="Times New Roman" w:hAnsi="Arial" w:cs="Arial"/>
                <w:color w:val="000000"/>
                <w:lang w:eastAsia="es-CO"/>
              </w:rPr>
              <w:t xml:space="preserve"> SESENTA (60) DIAS</w:t>
            </w:r>
            <w:r w:rsidR="001E235A">
              <w:rPr>
                <w:rFonts w:ascii="Arial" w:eastAsia="Times New Roman" w:hAnsi="Arial" w:cs="Arial"/>
                <w:color w:val="000000"/>
                <w:lang w:eastAsia="es-CO"/>
              </w:rPr>
              <w:t xml:space="preserve">, </w:t>
            </w:r>
            <w:bookmarkStart w:id="0" w:name="_Hlk51783591"/>
            <w:bookmarkStart w:id="1" w:name="_Hlk50041259"/>
            <w:bookmarkStart w:id="2" w:name="_Hlk52287006"/>
            <w:r w:rsidR="001E235A" w:rsidRPr="00C866AA">
              <w:rPr>
                <w:rFonts w:ascii="Arial" w:eastAsia="Times New Roman" w:hAnsi="Arial" w:cs="Arial"/>
                <w:color w:val="000000"/>
                <w:lang w:eastAsia="es-CO"/>
              </w:rPr>
              <w:t>contados a partir de la suscripción del acta de inicio el término del contrato no podrá exceder la vigencia del 31 de diciembre de 2020, si el periodo a ejecutar es menor al plazo efectivamente establecido, este será desde el momento de la suscripción del acta de inicio</w:t>
            </w:r>
            <w:bookmarkEnd w:id="0"/>
            <w:r w:rsidR="001E235A" w:rsidRPr="00C866AA">
              <w:rPr>
                <w:rFonts w:ascii="Arial" w:eastAsia="Times New Roman" w:hAnsi="Arial" w:cs="Arial"/>
                <w:color w:val="000000"/>
                <w:lang w:eastAsia="es-CO"/>
              </w:rPr>
              <w:t>.</w:t>
            </w:r>
            <w:bookmarkEnd w:id="1"/>
          </w:p>
          <w:bookmarkEnd w:id="2"/>
          <w:p w:rsidR="00E33B2F" w:rsidRPr="00E33B2F" w:rsidRDefault="00E33B2F" w:rsidP="00E33B2F">
            <w:pPr>
              <w:spacing w:after="0" w:line="240" w:lineRule="auto"/>
              <w:jc w:val="both"/>
              <w:rPr>
                <w:rFonts w:ascii="Arial" w:eastAsia="Times New Roman" w:hAnsi="Arial" w:cs="Arial"/>
                <w:b/>
                <w:bCs/>
                <w:color w:val="000000"/>
                <w:lang w:eastAsia="es-CO"/>
              </w:rPr>
            </w:pP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b/>
                <w:bCs/>
                <w:color w:val="000000"/>
                <w:lang w:eastAsia="es-CO"/>
              </w:rPr>
            </w:pPr>
          </w:p>
        </w:tc>
      </w:tr>
      <w:tr w:rsidR="00E33B2F" w:rsidRPr="00E33B2F" w:rsidTr="00E33B2F">
        <w:trPr>
          <w:trHeight w:val="12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color w:val="000000"/>
                <w:lang w:eastAsia="es-CO"/>
              </w:rPr>
            </w:pPr>
            <w:r w:rsidRPr="00E33B2F">
              <w:rPr>
                <w:rFonts w:ascii="Arial" w:eastAsia="Times New Roman" w:hAnsi="Arial" w:cs="Arial"/>
                <w:color w:val="000000"/>
                <w:lang w:eastAsia="es-CO"/>
              </w:rPr>
              <w:t>mediante dos (2) actas, cada una por valor de TRES MILLONES DOSCIENTOS NOVENTA Y NUEVE MIL PESOS M/CTE ($3.299.000,00)</w:t>
            </w:r>
            <w:r w:rsidR="001E235A">
              <w:rPr>
                <w:rFonts w:ascii="Arial" w:eastAsia="Times New Roman" w:hAnsi="Arial" w:cs="Arial"/>
                <w:color w:val="000000"/>
                <w:lang w:eastAsia="es-CO"/>
              </w:rPr>
              <w:t xml:space="preserve">, por mes vencido </w:t>
            </w: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color w:val="000000"/>
                <w:lang w:eastAsia="es-CO"/>
              </w:rPr>
            </w:pP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color w:val="000000"/>
                <w:lang w:eastAsia="es-CO"/>
              </w:rPr>
            </w:pPr>
          </w:p>
        </w:tc>
      </w:tr>
      <w:tr w:rsidR="00E33B2F" w:rsidRPr="00E33B2F" w:rsidTr="00E33B2F">
        <w:trPr>
          <w:trHeight w:val="300"/>
        </w:trPr>
        <w:tc>
          <w:tcPr>
            <w:tcW w:w="8838" w:type="dxa"/>
            <w:tcBorders>
              <w:top w:val="nil"/>
              <w:left w:val="nil"/>
              <w:bottom w:val="nil"/>
              <w:right w:val="nil"/>
            </w:tcBorders>
            <w:shd w:val="clear" w:color="auto" w:fill="auto"/>
            <w:noWrap/>
            <w:vAlign w:val="center"/>
            <w:hideMark/>
          </w:tcPr>
          <w:p w:rsidR="00E33B2F" w:rsidRPr="00E33B2F" w:rsidRDefault="00E33B2F" w:rsidP="00E33B2F">
            <w:pPr>
              <w:spacing w:after="0" w:line="240" w:lineRule="auto"/>
              <w:jc w:val="both"/>
              <w:rPr>
                <w:rFonts w:ascii="Arial" w:eastAsia="Times New Roman" w:hAnsi="Arial" w:cs="Arial"/>
                <w:color w:val="000000"/>
                <w:lang w:eastAsia="es-CO"/>
              </w:rPr>
            </w:pPr>
          </w:p>
        </w:tc>
      </w:tr>
      <w:tr w:rsidR="00E33B2F" w:rsidRPr="00E33B2F" w:rsidTr="00E33B2F">
        <w:trPr>
          <w:trHeight w:val="600"/>
        </w:trPr>
        <w:tc>
          <w:tcPr>
            <w:tcW w:w="8838" w:type="dxa"/>
            <w:tcBorders>
              <w:top w:val="nil"/>
              <w:left w:val="nil"/>
              <w:bottom w:val="nil"/>
              <w:right w:val="nil"/>
            </w:tcBorders>
            <w:shd w:val="clear" w:color="auto" w:fill="auto"/>
            <w:vAlign w:val="bottom"/>
            <w:hideMark/>
          </w:tcPr>
          <w:p w:rsidR="00E33B2F" w:rsidRPr="00E33B2F" w:rsidRDefault="00E33B2F" w:rsidP="00E33B2F">
            <w:pPr>
              <w:pStyle w:val="WW-NormalWeb"/>
              <w:spacing w:before="0"/>
              <w:ind w:right="17"/>
              <w:rPr>
                <w:rFonts w:ascii="Arial" w:hAnsi="Arial" w:cs="Arial"/>
                <w:sz w:val="22"/>
                <w:szCs w:val="22"/>
              </w:rPr>
            </w:pPr>
            <w:r w:rsidRPr="00E33B2F">
              <w:rPr>
                <w:rFonts w:ascii="Arial" w:hAnsi="Arial" w:cs="Arial"/>
                <w:b/>
                <w:sz w:val="22"/>
                <w:szCs w:val="22"/>
              </w:rPr>
              <w:t>IDONEIDAD:</w:t>
            </w:r>
            <w:r w:rsidRPr="00E33B2F">
              <w:rPr>
                <w:rFonts w:ascii="Arial" w:hAnsi="Arial" w:cs="Arial"/>
                <w:sz w:val="22"/>
                <w:szCs w:val="22"/>
              </w:rPr>
              <w:t xml:space="preserve"> </w:t>
            </w:r>
            <w:bookmarkStart w:id="3" w:name="_GoBack"/>
            <w:r w:rsidRPr="00E33B2F">
              <w:rPr>
                <w:rFonts w:ascii="Arial" w:hAnsi="Arial" w:cs="Arial"/>
                <w:sz w:val="22"/>
                <w:szCs w:val="22"/>
              </w:rPr>
              <w:t>Título Profesional en Odontología</w:t>
            </w:r>
            <w:bookmarkEnd w:id="3"/>
          </w:p>
          <w:p w:rsidR="00E33B2F" w:rsidRPr="00E33B2F" w:rsidRDefault="00E33B2F" w:rsidP="00E33B2F">
            <w:pPr>
              <w:pStyle w:val="WW-NormalWeb"/>
              <w:spacing w:before="0"/>
              <w:ind w:right="17"/>
              <w:rPr>
                <w:rFonts w:ascii="Arial" w:hAnsi="Arial" w:cs="Arial"/>
                <w:sz w:val="22"/>
                <w:szCs w:val="22"/>
              </w:rPr>
            </w:pPr>
          </w:p>
          <w:p w:rsidR="00E33B2F" w:rsidRPr="00E33B2F" w:rsidRDefault="00E33B2F" w:rsidP="00E33B2F">
            <w:pPr>
              <w:pStyle w:val="WW-NormalWeb"/>
              <w:spacing w:before="0"/>
              <w:ind w:right="17"/>
              <w:rPr>
                <w:rFonts w:ascii="Arial" w:hAnsi="Arial" w:cs="Arial"/>
                <w:sz w:val="22"/>
                <w:szCs w:val="22"/>
              </w:rPr>
            </w:pPr>
            <w:r w:rsidRPr="00E33B2F">
              <w:rPr>
                <w:rFonts w:ascii="Arial" w:hAnsi="Arial" w:cs="Arial"/>
                <w:b/>
                <w:sz w:val="22"/>
                <w:szCs w:val="22"/>
              </w:rPr>
              <w:t>EXPERIENCIA:</w:t>
            </w:r>
            <w:r w:rsidRPr="00E33B2F">
              <w:rPr>
                <w:rFonts w:ascii="Arial" w:hAnsi="Arial" w:cs="Arial"/>
                <w:sz w:val="22"/>
                <w:szCs w:val="22"/>
              </w:rPr>
              <w:t xml:space="preserve"> Mínima de un dos en empleos relacionados con los alcances del contrato </w:t>
            </w:r>
          </w:p>
          <w:p w:rsidR="00E33B2F" w:rsidRPr="00E33B2F" w:rsidRDefault="00E33B2F" w:rsidP="00E33B2F">
            <w:pPr>
              <w:spacing w:after="0" w:line="240" w:lineRule="auto"/>
              <w:rPr>
                <w:rFonts w:ascii="Arial" w:eastAsia="Times New Roman" w:hAnsi="Arial" w:cs="Arial"/>
                <w:b/>
                <w:bCs/>
                <w:color w:val="000000"/>
                <w:lang w:eastAsia="es-CO"/>
              </w:rPr>
            </w:pPr>
          </w:p>
        </w:tc>
      </w:tr>
    </w:tbl>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E33B2F" w:rsidRPr="00E33B2F" w:rsidRDefault="00E33B2F" w:rsidP="009D3B3A">
      <w:pPr>
        <w:spacing w:after="0" w:line="240" w:lineRule="auto"/>
        <w:jc w:val="center"/>
        <w:rPr>
          <w:rFonts w:ascii="Arial" w:eastAsia="Times New Roman" w:hAnsi="Arial" w:cs="Arial"/>
          <w:b/>
          <w:bCs/>
          <w:lang w:eastAsia="es-CO"/>
        </w:rPr>
      </w:pPr>
    </w:p>
    <w:p w:rsidR="00B31B6D" w:rsidRPr="00E33B2F" w:rsidRDefault="00571447" w:rsidP="003A258B">
      <w:pPr>
        <w:spacing w:after="0" w:line="240" w:lineRule="auto"/>
        <w:jc w:val="both"/>
        <w:rPr>
          <w:rFonts w:ascii="Arial" w:eastAsia="Times New Roman" w:hAnsi="Arial" w:cs="Arial"/>
          <w:b/>
          <w:bCs/>
          <w:lang w:eastAsia="es-CO"/>
        </w:rPr>
      </w:pPr>
      <w:r w:rsidRPr="00E33B2F">
        <w:rPr>
          <w:rFonts w:ascii="Arial" w:eastAsia="Times New Roman" w:hAnsi="Arial" w:cs="Arial"/>
          <w:b/>
          <w:bCs/>
          <w:lang w:eastAsia="es-CO"/>
        </w:rPr>
        <w:t>OBJETO DE CONTRATO:</w:t>
      </w:r>
    </w:p>
    <w:p w:rsidR="00E33B2F" w:rsidRPr="00E33B2F" w:rsidRDefault="00E33B2F" w:rsidP="003A258B">
      <w:pPr>
        <w:spacing w:after="0" w:line="240" w:lineRule="auto"/>
        <w:jc w:val="both"/>
        <w:rPr>
          <w:rFonts w:ascii="Arial" w:eastAsia="Times New Roman" w:hAnsi="Arial" w:cs="Arial"/>
          <w:bCs/>
          <w:lang w:eastAsia="es-CO"/>
        </w:rPr>
      </w:pPr>
    </w:p>
    <w:p w:rsidR="00E33B2F" w:rsidRPr="00E33B2F" w:rsidRDefault="00E33B2F" w:rsidP="003A258B">
      <w:pPr>
        <w:spacing w:after="0" w:line="240" w:lineRule="auto"/>
        <w:jc w:val="both"/>
        <w:rPr>
          <w:rFonts w:ascii="Arial" w:eastAsia="Times New Roman" w:hAnsi="Arial" w:cs="Arial"/>
          <w:bCs/>
          <w:lang w:eastAsia="es-CO"/>
        </w:rPr>
      </w:pPr>
      <w:r w:rsidRPr="00E33B2F">
        <w:rPr>
          <w:rFonts w:ascii="Arial" w:hAnsi="Arial" w:cs="Arial"/>
        </w:rPr>
        <w:t>Prestación de servicios profesionales para realizar apoyo en la ejecución de acciones para la adecuada gestión del riesgo, promoción de la salud y gestión de la salud pública a ser desarrollada por la dimensión vida saludable y condiciones no transmisibles en EAPB e IPS públicas y privadas del municipio de Pereira, con énfasis en asistencia técnica e inspección y vigilancia</w:t>
      </w:r>
    </w:p>
    <w:p w:rsidR="00B31B6D" w:rsidRPr="00E33B2F" w:rsidRDefault="00B31B6D" w:rsidP="003A258B">
      <w:pPr>
        <w:spacing w:after="0" w:line="240" w:lineRule="auto"/>
        <w:jc w:val="both"/>
        <w:rPr>
          <w:rFonts w:ascii="Arial" w:eastAsia="Times New Roman" w:hAnsi="Arial" w:cs="Arial"/>
          <w:bCs/>
          <w:lang w:eastAsia="es-CO"/>
        </w:rPr>
      </w:pPr>
    </w:p>
    <w:p w:rsidR="009D3B3A" w:rsidRPr="00E33B2F" w:rsidRDefault="009D3B3A" w:rsidP="003A258B">
      <w:pPr>
        <w:spacing w:after="0" w:line="240" w:lineRule="auto"/>
        <w:jc w:val="both"/>
        <w:rPr>
          <w:rFonts w:ascii="Arial" w:eastAsia="Times New Roman" w:hAnsi="Arial" w:cs="Arial"/>
          <w:b/>
          <w:bCs/>
          <w:lang w:eastAsia="es-CO"/>
        </w:rPr>
      </w:pPr>
    </w:p>
    <w:p w:rsidR="009D3B3A" w:rsidRPr="00E33B2F" w:rsidRDefault="009D3B3A" w:rsidP="004D2E65">
      <w:pPr>
        <w:spacing w:after="0" w:line="240" w:lineRule="auto"/>
        <w:rPr>
          <w:rFonts w:ascii="Arial" w:eastAsia="Times New Roman" w:hAnsi="Arial" w:cs="Arial"/>
          <w:b/>
          <w:bCs/>
          <w:lang w:eastAsia="es-CO"/>
        </w:rPr>
      </w:pPr>
    </w:p>
    <w:p w:rsidR="00F4137E" w:rsidRDefault="00F4137E" w:rsidP="004D2E65">
      <w:pPr>
        <w:spacing w:after="0" w:line="240" w:lineRule="auto"/>
        <w:rPr>
          <w:rFonts w:ascii="Arial" w:eastAsia="Times New Roman" w:hAnsi="Arial" w:cs="Arial"/>
          <w:b/>
          <w:bCs/>
          <w:lang w:eastAsia="es-CO"/>
        </w:rPr>
      </w:pPr>
    </w:p>
    <w:p w:rsidR="00E33B2F" w:rsidRDefault="00E33B2F" w:rsidP="004D2E65">
      <w:pPr>
        <w:spacing w:after="0" w:line="240" w:lineRule="auto"/>
        <w:rPr>
          <w:rFonts w:ascii="Arial" w:eastAsia="Times New Roman" w:hAnsi="Arial" w:cs="Arial"/>
          <w:b/>
          <w:bCs/>
          <w:lang w:eastAsia="es-CO"/>
        </w:rPr>
      </w:pPr>
    </w:p>
    <w:p w:rsidR="00E33B2F" w:rsidRDefault="00E33B2F" w:rsidP="004D2E65">
      <w:pPr>
        <w:spacing w:after="0" w:line="240" w:lineRule="auto"/>
        <w:rPr>
          <w:rFonts w:ascii="Arial" w:eastAsia="Times New Roman" w:hAnsi="Arial" w:cs="Arial"/>
          <w:b/>
          <w:bCs/>
          <w:lang w:eastAsia="es-CO"/>
        </w:rPr>
      </w:pPr>
    </w:p>
    <w:p w:rsidR="00E33B2F" w:rsidRDefault="00E33B2F" w:rsidP="004D2E65">
      <w:pPr>
        <w:spacing w:after="0" w:line="240" w:lineRule="auto"/>
        <w:rPr>
          <w:rFonts w:ascii="Arial" w:eastAsia="Times New Roman" w:hAnsi="Arial" w:cs="Arial"/>
          <w:b/>
          <w:bCs/>
          <w:lang w:eastAsia="es-CO"/>
        </w:rPr>
      </w:pPr>
    </w:p>
    <w:p w:rsidR="00E33B2F" w:rsidRPr="00E33B2F" w:rsidRDefault="00E33B2F" w:rsidP="004D2E65">
      <w:pPr>
        <w:spacing w:after="0" w:line="240" w:lineRule="auto"/>
        <w:rPr>
          <w:rFonts w:ascii="Arial" w:eastAsia="Times New Roman" w:hAnsi="Arial" w:cs="Arial"/>
          <w:b/>
          <w:bCs/>
          <w:lang w:eastAsia="es-CO"/>
        </w:rPr>
      </w:pPr>
    </w:p>
    <w:p w:rsidR="00F4137E" w:rsidRPr="00E33B2F" w:rsidRDefault="00F4137E" w:rsidP="004D2E65">
      <w:pPr>
        <w:spacing w:after="0" w:line="240" w:lineRule="auto"/>
        <w:rPr>
          <w:rFonts w:ascii="Arial" w:eastAsia="Times New Roman" w:hAnsi="Arial" w:cs="Arial"/>
          <w:b/>
          <w:bCs/>
          <w:lang w:eastAsia="es-CO"/>
        </w:rPr>
      </w:pPr>
    </w:p>
    <w:p w:rsidR="004D2E65" w:rsidRPr="00E33B2F" w:rsidRDefault="00B31B6D" w:rsidP="00F4137E">
      <w:pPr>
        <w:spacing w:after="0" w:line="240" w:lineRule="auto"/>
        <w:rPr>
          <w:rFonts w:ascii="Arial" w:eastAsia="Times New Roman" w:hAnsi="Arial" w:cs="Arial"/>
          <w:b/>
          <w:bCs/>
          <w:lang w:eastAsia="es-CO"/>
        </w:rPr>
      </w:pPr>
      <w:r w:rsidRPr="00E33B2F">
        <w:rPr>
          <w:rFonts w:ascii="Arial" w:eastAsia="Times New Roman" w:hAnsi="Arial" w:cs="Arial"/>
          <w:b/>
          <w:bCs/>
          <w:lang w:eastAsia="es-CO"/>
        </w:rPr>
        <w:t>ALCANCES DEL OBJETO</w:t>
      </w:r>
      <w:r w:rsidR="004D2E65" w:rsidRPr="00E33B2F">
        <w:rPr>
          <w:rFonts w:ascii="Arial" w:eastAsia="Times New Roman" w:hAnsi="Arial" w:cs="Arial"/>
          <w:b/>
          <w:bCs/>
          <w:lang w:eastAsia="es-CO"/>
        </w:rPr>
        <w:t>:</w:t>
      </w:r>
    </w:p>
    <w:p w:rsidR="00A577D0" w:rsidRPr="001E235A" w:rsidRDefault="005B2619" w:rsidP="001E235A">
      <w:pPr>
        <w:pStyle w:val="Prrafodelista"/>
        <w:numPr>
          <w:ilvl w:val="0"/>
          <w:numId w:val="2"/>
        </w:numPr>
        <w:ind w:left="284" w:hanging="284"/>
        <w:jc w:val="both"/>
        <w:rPr>
          <w:rFonts w:ascii="Arial" w:hAnsi="Arial" w:cs="Arial"/>
          <w:sz w:val="22"/>
          <w:szCs w:val="22"/>
        </w:rPr>
      </w:pPr>
      <w:r w:rsidRPr="00E33B2F">
        <w:rPr>
          <w:rFonts w:ascii="Arial" w:hAnsi="Arial" w:cs="Arial"/>
          <w:sz w:val="22"/>
          <w:szCs w:val="22"/>
        </w:rPr>
        <w:t>Realizar visitas de asistencia técnica y/o seguimient</w:t>
      </w:r>
      <w:r w:rsidR="007B02A0" w:rsidRPr="00E33B2F">
        <w:rPr>
          <w:rFonts w:ascii="Arial" w:hAnsi="Arial" w:cs="Arial"/>
          <w:sz w:val="22"/>
          <w:szCs w:val="22"/>
        </w:rPr>
        <w:t xml:space="preserve">o a planes de mejoramiento al 100% de </w:t>
      </w:r>
      <w:proofErr w:type="gramStart"/>
      <w:r w:rsidR="007B02A0" w:rsidRPr="00E33B2F">
        <w:rPr>
          <w:rFonts w:ascii="Arial" w:hAnsi="Arial" w:cs="Arial"/>
          <w:sz w:val="22"/>
          <w:szCs w:val="22"/>
        </w:rPr>
        <w:t xml:space="preserve">las </w:t>
      </w:r>
      <w:r w:rsidR="000D2AE4" w:rsidRPr="00E33B2F">
        <w:rPr>
          <w:rFonts w:ascii="Arial" w:hAnsi="Arial" w:cs="Arial"/>
          <w:sz w:val="22"/>
          <w:szCs w:val="22"/>
        </w:rPr>
        <w:t xml:space="preserve"> EAPB</w:t>
      </w:r>
      <w:proofErr w:type="gramEnd"/>
      <w:r w:rsidRPr="00E33B2F">
        <w:rPr>
          <w:rFonts w:ascii="Arial" w:hAnsi="Arial" w:cs="Arial"/>
          <w:sz w:val="22"/>
          <w:szCs w:val="22"/>
        </w:rPr>
        <w:t xml:space="preserve"> priorizadas por la Secretaria de Salud Pública y Seguridad Social</w:t>
      </w:r>
      <w:r w:rsidR="0005415C" w:rsidRPr="00E33B2F">
        <w:rPr>
          <w:rFonts w:ascii="Arial" w:hAnsi="Arial" w:cs="Arial"/>
          <w:sz w:val="22"/>
          <w:szCs w:val="22"/>
        </w:rPr>
        <w:t xml:space="preserve"> </w:t>
      </w:r>
      <w:r w:rsidR="00923EA2" w:rsidRPr="00E33B2F">
        <w:rPr>
          <w:rFonts w:ascii="Arial" w:hAnsi="Arial" w:cs="Arial"/>
          <w:sz w:val="22"/>
          <w:szCs w:val="22"/>
        </w:rPr>
        <w:t>para dar</w:t>
      </w:r>
      <w:r w:rsidR="000A5179" w:rsidRPr="00E33B2F">
        <w:rPr>
          <w:rFonts w:ascii="Arial" w:hAnsi="Arial" w:cs="Arial"/>
          <w:sz w:val="22"/>
          <w:szCs w:val="22"/>
        </w:rPr>
        <w:t xml:space="preserve"> cumplimiento </w:t>
      </w:r>
      <w:r w:rsidR="00923EA2" w:rsidRPr="00E33B2F">
        <w:rPr>
          <w:rFonts w:ascii="Arial" w:hAnsi="Arial" w:cs="Arial"/>
          <w:sz w:val="22"/>
          <w:szCs w:val="22"/>
        </w:rPr>
        <w:t>a</w:t>
      </w:r>
      <w:r w:rsidR="000A5179" w:rsidRPr="00E33B2F">
        <w:rPr>
          <w:rFonts w:ascii="Arial" w:hAnsi="Arial" w:cs="Arial"/>
          <w:sz w:val="22"/>
          <w:szCs w:val="22"/>
        </w:rPr>
        <w:t xml:space="preserve"> los lineamientos nacionales </w:t>
      </w:r>
      <w:r w:rsidR="000D2AE4" w:rsidRPr="00E33B2F">
        <w:rPr>
          <w:rFonts w:ascii="Arial" w:hAnsi="Arial" w:cs="Arial"/>
          <w:sz w:val="22"/>
          <w:szCs w:val="22"/>
        </w:rPr>
        <w:t>del componente de salud bucal.</w:t>
      </w:r>
      <w:r w:rsidR="00635833" w:rsidRPr="00E33B2F">
        <w:rPr>
          <w:rFonts w:ascii="Arial" w:hAnsi="Arial" w:cs="Arial"/>
          <w:sz w:val="22"/>
          <w:szCs w:val="22"/>
          <w:lang w:val="es-ES_tradnl"/>
        </w:rPr>
        <w:t xml:space="preserve"> </w:t>
      </w:r>
      <w:r w:rsidR="001E235A">
        <w:rPr>
          <w:rFonts w:ascii="Arial" w:hAnsi="Arial" w:cs="Arial"/>
          <w:sz w:val="22"/>
          <w:szCs w:val="22"/>
          <w:lang w:val="es-ES_tradnl"/>
        </w:rPr>
        <w:t xml:space="preserve">2. </w:t>
      </w:r>
      <w:r w:rsidR="000D2AE4" w:rsidRPr="001E235A">
        <w:rPr>
          <w:rFonts w:ascii="Arial" w:hAnsi="Arial" w:cs="Arial"/>
        </w:rPr>
        <w:t xml:space="preserve">Realizar visitas de asistencia técnica y/o seguimiento a planes de mejoramiento al 100% de </w:t>
      </w:r>
      <w:r w:rsidR="00F845F8" w:rsidRPr="001E235A">
        <w:rPr>
          <w:rFonts w:ascii="Arial" w:hAnsi="Arial" w:cs="Arial"/>
        </w:rPr>
        <w:t>las IPS</w:t>
      </w:r>
      <w:r w:rsidR="000D2AE4" w:rsidRPr="001E235A">
        <w:rPr>
          <w:rFonts w:ascii="Arial" w:hAnsi="Arial" w:cs="Arial"/>
        </w:rPr>
        <w:t xml:space="preserve"> priorizadas por la Secretaria de Salud Pública y Seguridad Social para dar cumplimiento a los lineamientos nacionales del componente de salud bucal.</w:t>
      </w:r>
      <w:r w:rsidR="000D2AE4" w:rsidRPr="001E235A">
        <w:rPr>
          <w:rFonts w:ascii="Arial" w:hAnsi="Arial" w:cs="Arial"/>
          <w:lang w:val="es-ES_tradnl"/>
        </w:rPr>
        <w:t xml:space="preserve"> </w:t>
      </w:r>
      <w:r w:rsidR="001E235A">
        <w:rPr>
          <w:rFonts w:ascii="Arial" w:hAnsi="Arial" w:cs="Arial"/>
          <w:lang w:val="es-ES_tradnl"/>
        </w:rPr>
        <w:t xml:space="preserve">3. </w:t>
      </w:r>
      <w:r w:rsidR="00A577D0" w:rsidRPr="001E235A">
        <w:rPr>
          <w:rFonts w:ascii="Arial" w:hAnsi="Arial" w:cs="Arial"/>
        </w:rPr>
        <w:t xml:space="preserve">Apoyar la realización de acciones de gestión y </w:t>
      </w:r>
      <w:proofErr w:type="gramStart"/>
      <w:r w:rsidR="00A577D0" w:rsidRPr="001E235A">
        <w:rPr>
          <w:rFonts w:ascii="Arial" w:hAnsi="Arial" w:cs="Arial"/>
        </w:rPr>
        <w:t>articulación  con</w:t>
      </w:r>
      <w:proofErr w:type="gramEnd"/>
      <w:r w:rsidR="00A577D0" w:rsidRPr="001E235A">
        <w:rPr>
          <w:rFonts w:ascii="Arial" w:hAnsi="Arial" w:cs="Arial"/>
        </w:rPr>
        <w:t xml:space="preserve"> los  diferentes actores del SG</w:t>
      </w:r>
      <w:r w:rsidR="000D2AE4" w:rsidRPr="001E235A">
        <w:rPr>
          <w:rFonts w:ascii="Arial" w:hAnsi="Arial" w:cs="Arial"/>
        </w:rPr>
        <w:t xml:space="preserve">SSS (secretaria de salud departamental, IPS, EAPB, academia y otros). </w:t>
      </w:r>
      <w:r w:rsidR="001E235A">
        <w:rPr>
          <w:rFonts w:ascii="Arial" w:hAnsi="Arial" w:cs="Arial"/>
        </w:rPr>
        <w:t xml:space="preserve">4. </w:t>
      </w:r>
      <w:r w:rsidR="00A577D0" w:rsidRPr="001E235A">
        <w:rPr>
          <w:rFonts w:ascii="Arial" w:hAnsi="Arial" w:cs="Arial"/>
          <w:lang w:val="es-ES_tradnl"/>
        </w:rPr>
        <w:t xml:space="preserve">Apoyar los requerimientos técnicos, operativos y administrativos como actualización del estado de salud, </w:t>
      </w:r>
      <w:r w:rsidR="000D2AE4" w:rsidRPr="001E235A">
        <w:rPr>
          <w:rFonts w:ascii="Arial" w:hAnsi="Arial" w:cs="Arial"/>
          <w:lang w:val="es-ES_tradnl"/>
        </w:rPr>
        <w:t xml:space="preserve">cronogramas </w:t>
      </w:r>
      <w:r w:rsidR="000D076B" w:rsidRPr="001E235A">
        <w:rPr>
          <w:rFonts w:ascii="Arial" w:hAnsi="Arial" w:cs="Arial"/>
          <w:lang w:val="es-ES_tradnl"/>
        </w:rPr>
        <w:t>semanales</w:t>
      </w:r>
      <w:r w:rsidR="000D2AE4" w:rsidRPr="001E235A">
        <w:rPr>
          <w:rFonts w:ascii="Arial" w:hAnsi="Arial" w:cs="Arial"/>
          <w:lang w:val="es-ES_tradnl"/>
        </w:rPr>
        <w:t>, informes de gestión, ingreso de las actividades realizadas en el sistema establecido por la secretaria de salud y los demás que le sean requeridos</w:t>
      </w:r>
      <w:r w:rsidR="00A577D0" w:rsidRPr="001E235A">
        <w:rPr>
          <w:rFonts w:ascii="Arial" w:hAnsi="Arial" w:cs="Arial"/>
          <w:lang w:val="es-ES_tradnl"/>
        </w:rPr>
        <w:t xml:space="preserve">.  </w:t>
      </w:r>
      <w:r w:rsidR="001E235A">
        <w:rPr>
          <w:rFonts w:ascii="Arial" w:hAnsi="Arial" w:cs="Arial"/>
          <w:lang w:val="es-ES_tradnl"/>
        </w:rPr>
        <w:t xml:space="preserve">5. </w:t>
      </w:r>
      <w:r w:rsidR="000821C6" w:rsidRPr="001E235A">
        <w:rPr>
          <w:rFonts w:ascii="Arial" w:eastAsia="Arial" w:hAnsi="Arial" w:cs="Arial"/>
        </w:rPr>
        <w:t>Participar y responder a los requerimientos de reuniones</w:t>
      </w:r>
      <w:r w:rsidR="000D076B" w:rsidRPr="001E235A">
        <w:rPr>
          <w:rFonts w:ascii="Arial" w:eastAsia="Arial" w:hAnsi="Arial" w:cs="Arial"/>
        </w:rPr>
        <w:t xml:space="preserve"> en general</w:t>
      </w:r>
      <w:r w:rsidR="000821C6" w:rsidRPr="001E235A">
        <w:rPr>
          <w:rFonts w:ascii="Arial" w:eastAsia="Arial" w:hAnsi="Arial" w:cs="Arial"/>
        </w:rPr>
        <w:t>, comités, capac</w:t>
      </w:r>
      <w:r w:rsidR="000D076B" w:rsidRPr="001E235A">
        <w:rPr>
          <w:rFonts w:ascii="Arial" w:eastAsia="Arial" w:hAnsi="Arial" w:cs="Arial"/>
        </w:rPr>
        <w:t xml:space="preserve">itaciones y </w:t>
      </w:r>
      <w:r w:rsidR="000821C6" w:rsidRPr="001E235A">
        <w:rPr>
          <w:rFonts w:ascii="Arial" w:eastAsia="Arial" w:hAnsi="Arial" w:cs="Arial"/>
        </w:rPr>
        <w:t>evaluaciones</w:t>
      </w:r>
      <w:r w:rsidR="000D076B" w:rsidRPr="001E235A">
        <w:rPr>
          <w:rFonts w:ascii="Arial" w:eastAsia="Arial" w:hAnsi="Arial" w:cs="Arial"/>
        </w:rPr>
        <w:t xml:space="preserve"> donde sea convocado. </w:t>
      </w:r>
      <w:r w:rsidR="001E235A">
        <w:rPr>
          <w:rFonts w:ascii="Arial" w:eastAsia="Arial" w:hAnsi="Arial" w:cs="Arial"/>
        </w:rPr>
        <w:t xml:space="preserve">6. </w:t>
      </w:r>
      <w:r w:rsidR="00EA3D06" w:rsidRPr="001E235A">
        <w:rPr>
          <w:rFonts w:ascii="Arial" w:hAnsi="Arial" w:cs="Arial"/>
        </w:rPr>
        <w:t xml:space="preserve">Apoyar la gestión y seguimiento </w:t>
      </w:r>
      <w:r w:rsidR="004D2E65" w:rsidRPr="001E235A">
        <w:rPr>
          <w:rFonts w:ascii="Arial" w:hAnsi="Arial" w:cs="Arial"/>
        </w:rPr>
        <w:t xml:space="preserve">de los </w:t>
      </w:r>
      <w:r w:rsidR="00EA3D06" w:rsidRPr="001E235A">
        <w:rPr>
          <w:rFonts w:ascii="Arial" w:hAnsi="Arial" w:cs="Arial"/>
        </w:rPr>
        <w:t>eventos</w:t>
      </w:r>
      <w:r w:rsidR="004D2E65" w:rsidRPr="001E235A">
        <w:rPr>
          <w:rFonts w:ascii="Arial" w:hAnsi="Arial" w:cs="Arial"/>
        </w:rPr>
        <w:t xml:space="preserve"> de vigilancia en salud pública </w:t>
      </w:r>
      <w:r w:rsidR="00EA3D06" w:rsidRPr="001E235A">
        <w:rPr>
          <w:rFonts w:ascii="Arial" w:hAnsi="Arial" w:cs="Arial"/>
        </w:rPr>
        <w:t>requeridos</w:t>
      </w:r>
      <w:r w:rsidR="009414DC" w:rsidRPr="001E235A">
        <w:rPr>
          <w:rFonts w:ascii="Arial" w:hAnsi="Arial" w:cs="Arial"/>
        </w:rPr>
        <w:t>,</w:t>
      </w:r>
      <w:r w:rsidR="00D114BA" w:rsidRPr="001E235A">
        <w:rPr>
          <w:rFonts w:ascii="Arial" w:hAnsi="Arial" w:cs="Arial"/>
        </w:rPr>
        <w:t xml:space="preserve"> relacionados con el programa de salud bucal</w:t>
      </w:r>
      <w:r w:rsidR="004D2E65" w:rsidRPr="001E235A">
        <w:rPr>
          <w:rFonts w:ascii="Arial" w:hAnsi="Arial" w:cs="Arial"/>
        </w:rPr>
        <w:t xml:space="preserve"> (sivigila, estadísti</w:t>
      </w:r>
      <w:r w:rsidR="009414DC" w:rsidRPr="001E235A">
        <w:rPr>
          <w:rFonts w:ascii="Arial" w:hAnsi="Arial" w:cs="Arial"/>
        </w:rPr>
        <w:t>cas vitales, SISAP</w:t>
      </w:r>
      <w:r w:rsidR="00A577D0" w:rsidRPr="001E235A">
        <w:rPr>
          <w:rFonts w:ascii="Arial" w:hAnsi="Arial" w:cs="Arial"/>
        </w:rPr>
        <w:t>, RIPS</w:t>
      </w:r>
      <w:r w:rsidR="009414DC" w:rsidRPr="001E235A">
        <w:rPr>
          <w:rFonts w:ascii="Arial" w:hAnsi="Arial" w:cs="Arial"/>
        </w:rPr>
        <w:t>) y</w:t>
      </w:r>
      <w:r w:rsidR="000D076B" w:rsidRPr="001E235A">
        <w:rPr>
          <w:rFonts w:ascii="Arial" w:hAnsi="Arial" w:cs="Arial"/>
        </w:rPr>
        <w:t xml:space="preserve"> </w:t>
      </w:r>
      <w:r w:rsidR="00EA3D06" w:rsidRPr="001E235A">
        <w:rPr>
          <w:rFonts w:ascii="Arial" w:hAnsi="Arial" w:cs="Arial"/>
        </w:rPr>
        <w:t>ent</w:t>
      </w:r>
      <w:r w:rsidR="00A577D0" w:rsidRPr="001E235A">
        <w:rPr>
          <w:rFonts w:ascii="Arial" w:hAnsi="Arial" w:cs="Arial"/>
        </w:rPr>
        <w:t>regar la información</w:t>
      </w:r>
      <w:r w:rsidR="00F845F8" w:rsidRPr="001E235A">
        <w:rPr>
          <w:rFonts w:ascii="Arial" w:hAnsi="Arial" w:cs="Arial"/>
        </w:rPr>
        <w:t xml:space="preserve"> mediante informe mensual que incluye datos y análisis del mismo</w:t>
      </w:r>
      <w:r w:rsidR="00A577D0" w:rsidRPr="001E235A">
        <w:rPr>
          <w:rFonts w:ascii="Arial" w:hAnsi="Arial" w:cs="Arial"/>
        </w:rPr>
        <w:t>.</w:t>
      </w:r>
      <w:r w:rsidR="001E235A">
        <w:rPr>
          <w:rFonts w:ascii="Arial" w:hAnsi="Arial" w:cs="Arial"/>
        </w:rPr>
        <w:t xml:space="preserve">7. </w:t>
      </w:r>
      <w:r w:rsidR="00A577D0" w:rsidRPr="001E235A">
        <w:rPr>
          <w:rFonts w:ascii="Arial" w:eastAsia="Arial" w:hAnsi="Arial" w:cs="Arial"/>
        </w:rPr>
        <w:t>Y las demás que sean asignadas y afines con el objeto, los alcances del contrato, y la misión de la entidad.</w:t>
      </w:r>
    </w:p>
    <w:p w:rsidR="00F845F8" w:rsidRPr="00E33B2F" w:rsidRDefault="00F845F8" w:rsidP="00F845F8">
      <w:pPr>
        <w:jc w:val="both"/>
        <w:rPr>
          <w:rFonts w:ascii="Arial" w:hAnsi="Arial" w:cs="Arial"/>
          <w:color w:val="FF0000"/>
        </w:rPr>
      </w:pPr>
    </w:p>
    <w:p w:rsidR="00F845F8" w:rsidRPr="00E33B2F" w:rsidRDefault="00F845F8" w:rsidP="00F845F8">
      <w:pPr>
        <w:numPr>
          <w:ilvl w:val="0"/>
          <w:numId w:val="7"/>
        </w:numPr>
        <w:tabs>
          <w:tab w:val="clear" w:pos="502"/>
          <w:tab w:val="num" w:pos="284"/>
        </w:tabs>
        <w:suppressAutoHyphens/>
        <w:spacing w:after="0" w:line="240" w:lineRule="auto"/>
        <w:ind w:left="720" w:hanging="720"/>
        <w:jc w:val="both"/>
        <w:rPr>
          <w:rFonts w:ascii="Arial" w:hAnsi="Arial" w:cs="Arial"/>
          <w:b/>
        </w:rPr>
      </w:pPr>
      <w:r w:rsidRPr="00E33B2F">
        <w:rPr>
          <w:rFonts w:ascii="Arial" w:hAnsi="Arial" w:cs="Arial"/>
          <w:b/>
        </w:rPr>
        <w:t>CRITERIOS PARA SELECCIONAR LA OFERTA MAS FAVORABLE</w:t>
      </w:r>
    </w:p>
    <w:p w:rsidR="00F845F8" w:rsidRPr="00E33B2F" w:rsidRDefault="00F845F8" w:rsidP="00F845F8">
      <w:pPr>
        <w:jc w:val="both"/>
        <w:rPr>
          <w:rFonts w:ascii="Arial" w:hAnsi="Arial" w:cs="Arial"/>
        </w:rPr>
      </w:pPr>
      <w:r w:rsidRPr="00E33B2F">
        <w:rPr>
          <w:rFonts w:ascii="Arial" w:hAnsi="Arial" w:cs="Arial"/>
        </w:rPr>
        <w:t>De conformidad con lo establecido en el artículo 2.2.1.2.1.4.9.  Del decreto 1082 de 2015 y una vez analizada la necesidad que requiere satisfacer la entidad con la contratación, el contratista se seleccionará teniendo en cuenta su idoneidad y experiencia, así:</w:t>
      </w:r>
    </w:p>
    <w:p w:rsidR="00F845F8" w:rsidRPr="00E33B2F" w:rsidRDefault="00F845F8" w:rsidP="00F845F8">
      <w:pPr>
        <w:pStyle w:val="WW-NormalWeb"/>
        <w:spacing w:before="0"/>
        <w:ind w:right="17"/>
        <w:rPr>
          <w:rFonts w:ascii="Arial" w:hAnsi="Arial" w:cs="Arial"/>
          <w:sz w:val="22"/>
          <w:szCs w:val="22"/>
        </w:rPr>
      </w:pPr>
    </w:p>
    <w:p w:rsidR="00E43181" w:rsidRPr="00E33B2F" w:rsidRDefault="00E43181" w:rsidP="00F4137E">
      <w:pPr>
        <w:jc w:val="both"/>
        <w:rPr>
          <w:rFonts w:ascii="Arial" w:hAnsi="Arial" w:cs="Arial"/>
        </w:rPr>
      </w:pPr>
    </w:p>
    <w:sectPr w:rsidR="00E43181" w:rsidRPr="00E33B2F" w:rsidSect="00CC73B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69" w:rsidRDefault="00296669" w:rsidP="00F845F8">
      <w:pPr>
        <w:spacing w:after="0" w:line="240" w:lineRule="auto"/>
      </w:pPr>
      <w:r>
        <w:separator/>
      </w:r>
    </w:p>
  </w:endnote>
  <w:endnote w:type="continuationSeparator" w:id="0">
    <w:p w:rsidR="00296669" w:rsidRDefault="00296669" w:rsidP="00F84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5F8" w:rsidRDefault="00F845F8" w:rsidP="00F845F8">
    <w:pPr>
      <w:pStyle w:val="Piedepgina"/>
      <w:ind w:right="360"/>
      <w:jc w:val="center"/>
      <w:rPr>
        <w:rFonts w:ascii="Trebuchet MS" w:eastAsia="Arial Unicode MS" w:hAnsi="Trebuchet MS" w:cs="Trebuchet MS"/>
        <w:sz w:val="18"/>
        <w:lang w:val="pt-BR"/>
      </w:rPr>
    </w:pPr>
    <w:r>
      <w:rPr>
        <w:noProof/>
      </w:rPr>
      <mc:AlternateContent>
        <mc:Choice Requires="wps">
          <w:drawing>
            <wp:anchor distT="0" distB="0" distL="0" distR="0" simplePos="0" relativeHeight="251661312" behindDoc="0" locked="0" layoutInCell="1" allowOverlap="1">
              <wp:simplePos x="0" y="0"/>
              <wp:positionH relativeFrom="page">
                <wp:posOffset>6793865</wp:posOffset>
              </wp:positionH>
              <wp:positionV relativeFrom="paragraph">
                <wp:posOffset>635</wp:posOffset>
              </wp:positionV>
              <wp:extent cx="61595" cy="144145"/>
              <wp:effectExtent l="2540" t="635" r="2540" b="7620"/>
              <wp:wrapSquare wrapText="larges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45F8" w:rsidRDefault="00F845F8" w:rsidP="00F845F8">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34.95pt;margin-top:.05pt;width:4.85pt;height:11.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g/jwIAACEFAAAOAAAAZHJzL2Uyb0RvYy54bWysVNuO2yAQfa/Uf0C8Z32Rk42tOKvdbFNV&#10;2l6kbT+AGByjYsYFEntb9d874Di7aV+qqn7AAwyHMzNnWN0MrSJHYawEXdLkKqZE6Aq41PuSfvm8&#10;nS0psY5pzhRoUdInYenN+vWrVd8VIoUGFBeGIIi2Rd+VtHGuK6LIVo1omb2CTmjcrMG0zOHU7CNu&#10;WI/orYrSOF5EPRjeGaiEtbh6P27SdcCva1G5j3VthSOqpMjNhdGEcefHaL1ixd6wrpHViQb7BxYt&#10;kxovPUPdM8fIwcg/oFpZGbBQu6sK2gjqWlYixIDRJPFv0Tw2rBMhFkyO7c5psv8Ptvpw/GSI5CVN&#10;KdGsxRJtDowbIFwQJwYHJPVJ6jtboO9jh95uuIMBix0Ctt0DVF8t0bBpmN6LW2OgbwTjSDLxJ6MX&#10;R0cc60F2/XvgeBs7OAhAQ21an0HMCUF0LNbTuUDIg1S4uEjm+ZySCneSLEuyebiAFdPZzlj3VkBL&#10;vFFSg+UP2Oz4YJ3nworJxV9lQUm+lUqFidnvNsqQI0OpbMM3nlVdw8bVIBfEsKNrwLvAUNojafCY&#10;43XjCvJHAn7PRxJ08SNP0iy+S/PZdrG8nmXbbD7Lr+PlLE7yu3wRZ3l2v/3pGSRZ0UjOhX6QWkwa&#10;TbK/08CpW0Z1BZWSvqT5PJ2H4C7Yn8I6xRr775TfC7dWOmxZJduSLs9OrPA1f6M5hs0Kx6Qa7eiS&#10;fkgZ5mD6h6wEhXhRjPJww25AFC+bHfAn1IoBLCYKAt8ZNBow3ynpsWdLar8dmBGUqHca9eYbfDLM&#10;ZOwmg+kKj5bUUTKaGzc+BIfOyH2DyKOiNdyiJmsZBPPMAin7CfZhIH96M3yjv5wHr+eXbf0LAAD/&#10;/wMAUEsDBBQABgAIAAAAIQAm4Ygq2wAAAAkBAAAPAAAAZHJzL2Rvd25yZXYueG1sTI/BTsMwEETv&#10;SPyDtZW4UbtBSpMQp4IiuCJSpF7deBtHiddR7Lbh73FOcBy90ezbcjfbgV1x8p0jCZu1AIbUON1R&#10;K+H78P6YAfNBkVaDI5Twgx521f1dqQrtbvSF1zq0LI6QL5QEE8JYcO4bg1b5tRuRIju7yaoQ49Ry&#10;PalbHLcDT4RIuVUdxQtGjbg32PT1xUp4+ky2R/9Rv+3HI+Z95l/7MxkpH1bzyzOwgHP4K8OiH9Wh&#10;ik4ndyHt2RCzSPM8dhfCFi62eQrsJCFJMuBVyf9/UP0CAAD//wMAUEsBAi0AFAAGAAgAAAAhALaD&#10;OJL+AAAA4QEAABMAAAAAAAAAAAAAAAAAAAAAAFtDb250ZW50X1R5cGVzXS54bWxQSwECLQAUAAYA&#10;CAAAACEAOP0h/9YAAACUAQAACwAAAAAAAAAAAAAAAAAvAQAAX3JlbHMvLnJlbHNQSwECLQAUAAYA&#10;CAAAACEAMNqYP48CAAAhBQAADgAAAAAAAAAAAAAAAAAuAgAAZHJzL2Uyb0RvYy54bWxQSwECLQAU&#10;AAYACAAAACEAJuGIKtsAAAAJAQAADwAAAAAAAAAAAAAAAADpBAAAZHJzL2Rvd25yZXYueG1sUEsF&#10;BgAAAAAEAAQA8wAAAPEFAAAAAA==&#10;" stroked="f">
              <v:fill opacity="0"/>
              <v:textbox inset="0,0,0,0">
                <w:txbxContent>
                  <w:p w:rsidR="00F845F8" w:rsidRDefault="00F845F8" w:rsidP="00F845F8">
                    <w:pPr>
                      <w:pStyle w:val="Piedepgina"/>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txbxContent>
              </v:textbox>
              <w10:wrap type="square" side="largest" anchorx="page"/>
            </v:shape>
          </w:pict>
        </mc:Fallback>
      </mc:AlternateContent>
    </w:r>
    <w:proofErr w:type="spellStart"/>
    <w:r>
      <w:rPr>
        <w:rFonts w:ascii="Trebuchet MS" w:eastAsia="Arial Unicode MS" w:hAnsi="Trebuchet MS" w:cs="Trebuchet MS"/>
        <w:sz w:val="18"/>
        <w:lang w:val="pt-BR"/>
      </w:rPr>
      <w:t>Calle</w:t>
    </w:r>
    <w:proofErr w:type="spellEnd"/>
    <w:r>
      <w:rPr>
        <w:rFonts w:ascii="Trebuchet MS" w:eastAsia="Arial Unicode MS" w:hAnsi="Trebuchet MS" w:cs="Trebuchet MS"/>
        <w:sz w:val="18"/>
        <w:lang w:val="pt-BR"/>
      </w:rPr>
      <w:t xml:space="preserve"> 19 No. 10-02 Pereira.  Telefono: 3248307</w:t>
    </w:r>
  </w:p>
  <w:p w:rsidR="00F845F8" w:rsidRDefault="00F845F8" w:rsidP="00F845F8">
    <w:pPr>
      <w:pStyle w:val="Piedepgina"/>
      <w:ind w:right="360"/>
      <w:jc w:val="center"/>
    </w:pPr>
    <w:r>
      <w:rPr>
        <w:rFonts w:ascii="Trebuchet MS" w:eastAsia="Arial Unicode MS" w:hAnsi="Trebuchet MS" w:cs="Trebuchet MS"/>
        <w:sz w:val="18"/>
        <w:lang w:val="pt-BR"/>
      </w:rPr>
      <w:t>www.dlspereira.gov.co</w:t>
    </w:r>
  </w:p>
  <w:p w:rsidR="00F845F8" w:rsidRDefault="00F845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69" w:rsidRDefault="00296669" w:rsidP="00F845F8">
      <w:pPr>
        <w:spacing w:after="0" w:line="240" w:lineRule="auto"/>
      </w:pPr>
      <w:r>
        <w:separator/>
      </w:r>
    </w:p>
  </w:footnote>
  <w:footnote w:type="continuationSeparator" w:id="0">
    <w:p w:rsidR="00296669" w:rsidRDefault="00296669" w:rsidP="00F84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5F8" w:rsidRDefault="00F845F8" w:rsidP="00F845F8">
    <w:pPr>
      <w:pStyle w:val="Encabezado"/>
    </w:pPr>
  </w:p>
  <w:tbl>
    <w:tblPr>
      <w:tblW w:w="11402" w:type="dxa"/>
      <w:tblInd w:w="-1274" w:type="dxa"/>
      <w:tblBorders>
        <w:bottom w:val="thinThickSmallGap" w:sz="12" w:space="0" w:color="00478E"/>
      </w:tblBorders>
      <w:tblLayout w:type="fixed"/>
      <w:tblLook w:val="01E0" w:firstRow="1" w:lastRow="1" w:firstColumn="1" w:lastColumn="1" w:noHBand="0" w:noVBand="0"/>
    </w:tblPr>
    <w:tblGrid>
      <w:gridCol w:w="2434"/>
      <w:gridCol w:w="6603"/>
      <w:gridCol w:w="1417"/>
      <w:gridCol w:w="948"/>
    </w:tblGrid>
    <w:tr w:rsidR="00F845F8" w:rsidRPr="00B467BC" w:rsidTr="00C56218">
      <w:trPr>
        <w:cantSplit/>
        <w:trHeight w:val="399"/>
      </w:trPr>
      <w:tc>
        <w:tcPr>
          <w:tcW w:w="2434" w:type="dxa"/>
          <w:vMerge w:val="restart"/>
        </w:tcPr>
        <w:p w:rsidR="00F845F8" w:rsidRPr="00B467BC" w:rsidRDefault="00F845F8" w:rsidP="00F845F8">
          <w:pPr>
            <w:tabs>
              <w:tab w:val="center" w:pos="4252"/>
              <w:tab w:val="right" w:pos="8504"/>
            </w:tabs>
            <w:rPr>
              <w:sz w:val="24"/>
              <w:szCs w:val="24"/>
              <w:lang w:val="es-ES" w:eastAsia="es-ES"/>
            </w:rPr>
          </w:pPr>
          <w:r w:rsidRPr="00B467BC">
            <w:rPr>
              <w:noProof/>
              <w:sz w:val="24"/>
              <w:szCs w:val="24"/>
              <w:lang w:val="es-ES" w:eastAsia="es-ES"/>
            </w:rPr>
            <w:drawing>
              <wp:anchor distT="0" distB="0" distL="114300" distR="114300" simplePos="0" relativeHeight="251659264" behindDoc="1" locked="0" layoutInCell="1" allowOverlap="1">
                <wp:simplePos x="0" y="0"/>
                <wp:positionH relativeFrom="column">
                  <wp:posOffset>220980</wp:posOffset>
                </wp:positionH>
                <wp:positionV relativeFrom="paragraph">
                  <wp:posOffset>-981075</wp:posOffset>
                </wp:positionV>
                <wp:extent cx="965835" cy="854710"/>
                <wp:effectExtent l="0" t="0" r="5715" b="2540"/>
                <wp:wrapTight wrapText="bothSides">
                  <wp:wrapPolygon edited="0">
                    <wp:start x="0" y="0"/>
                    <wp:lineTo x="0" y="21183"/>
                    <wp:lineTo x="21302" y="21183"/>
                    <wp:lineTo x="21302" y="0"/>
                    <wp:lineTo x="0" y="0"/>
                  </wp:wrapPolygon>
                </wp:wrapTight>
                <wp:docPr id="1" name="Imagen 1" descr="escudo alcaldia gr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alcaldia gris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854710"/>
                        </a:xfrm>
                        <a:prstGeom prst="rect">
                          <a:avLst/>
                        </a:prstGeom>
                        <a:noFill/>
                      </pic:spPr>
                    </pic:pic>
                  </a:graphicData>
                </a:graphic>
                <wp14:sizeRelH relativeFrom="page">
                  <wp14:pctWidth>0</wp14:pctWidth>
                </wp14:sizeRelH>
                <wp14:sizeRelV relativeFrom="page">
                  <wp14:pctHeight>0</wp14:pctHeight>
                </wp14:sizeRelV>
              </wp:anchor>
            </w:drawing>
          </w:r>
        </w:p>
      </w:tc>
      <w:tc>
        <w:tcPr>
          <w:tcW w:w="6603" w:type="dxa"/>
          <w:vMerge w:val="restart"/>
          <w:vAlign w:val="center"/>
        </w:tcPr>
        <w:p w:rsidR="00F845F8" w:rsidRPr="00F845F8" w:rsidRDefault="00F845F8" w:rsidP="00F845F8">
          <w:pPr>
            <w:tabs>
              <w:tab w:val="center" w:pos="4252"/>
              <w:tab w:val="right" w:pos="8504"/>
            </w:tabs>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F845F8">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 xml:space="preserve">ESTUDIO PREVIO </w:t>
          </w:r>
        </w:p>
        <w:p w:rsidR="00F845F8" w:rsidRPr="00F845F8" w:rsidRDefault="00F845F8" w:rsidP="00F845F8">
          <w:pPr>
            <w:tabs>
              <w:tab w:val="center" w:pos="4252"/>
              <w:tab w:val="right" w:pos="8504"/>
            </w:tabs>
            <w:jc w:val="center"/>
            <w:rPr>
              <w:rFonts w:ascii="Tahoma" w:hAnsi="Tahoma" w:cs="Tahoma"/>
              <w:b/>
              <w:sz w:val="24"/>
              <w:szCs w:val="24"/>
              <w:lang w:val="es-ES" w:eastAsia="es-ES"/>
              <w14:shadow w14:blurRad="50800" w14:dist="38100" w14:dir="2700000" w14:sx="100000" w14:sy="100000" w14:kx="0" w14:ky="0" w14:algn="tl">
                <w14:srgbClr w14:val="000000">
                  <w14:alpha w14:val="60000"/>
                </w14:srgbClr>
              </w14:shadow>
            </w:rPr>
          </w:pPr>
          <w:r w:rsidRPr="00F845F8">
            <w:rPr>
              <w:rFonts w:ascii="Tahoma" w:hAnsi="Tahoma" w:cs="Tahoma"/>
              <w:b/>
              <w:sz w:val="24"/>
              <w:szCs w:val="24"/>
              <w:lang w:val="es-ES" w:eastAsia="es-ES"/>
              <w14:shadow w14:blurRad="50800" w14:dist="38100" w14:dir="2700000" w14:sx="100000" w14:sy="100000" w14:kx="0" w14:ky="0" w14:algn="tl">
                <w14:srgbClr w14:val="000000">
                  <w14:alpha w14:val="60000"/>
                </w14:srgbClr>
              </w14:shadow>
            </w:rPr>
            <w:t>SECRETARIA DE SEGURIDAD Y SEGURIDAD SOCIAL</w:t>
          </w:r>
        </w:p>
      </w:tc>
      <w:tc>
        <w:tcPr>
          <w:tcW w:w="1417" w:type="dxa"/>
          <w:tcMar>
            <w:left w:w="57" w:type="dxa"/>
            <w:right w:w="57" w:type="dxa"/>
          </w:tcMar>
          <w:vAlign w:val="center"/>
        </w:tcPr>
        <w:p w:rsidR="00F845F8" w:rsidRPr="00B467BC" w:rsidRDefault="00F845F8" w:rsidP="00F845F8">
          <w:pPr>
            <w:tabs>
              <w:tab w:val="center" w:pos="4252"/>
              <w:tab w:val="right" w:pos="8504"/>
            </w:tabs>
            <w:rPr>
              <w:rFonts w:ascii="Tahoma" w:hAnsi="Tahoma" w:cs="Tahoma"/>
              <w:szCs w:val="24"/>
              <w:lang w:val="es-ES" w:eastAsia="es-ES"/>
            </w:rPr>
          </w:pPr>
          <w:r w:rsidRPr="00B467BC">
            <w:rPr>
              <w:rFonts w:ascii="Tahoma" w:hAnsi="Tahoma" w:cs="Tahoma"/>
              <w:b/>
              <w:szCs w:val="24"/>
              <w:lang w:val="es-ES" w:eastAsia="es-ES"/>
            </w:rPr>
            <w:t>Versión:</w:t>
          </w:r>
          <w:r w:rsidRPr="00B467BC">
            <w:rPr>
              <w:rFonts w:ascii="Tahoma" w:hAnsi="Tahoma" w:cs="Tahoma"/>
              <w:szCs w:val="24"/>
              <w:lang w:val="es-ES" w:eastAsia="es-ES"/>
            </w:rPr>
            <w:t xml:space="preserve"> </w:t>
          </w:r>
        </w:p>
      </w:tc>
      <w:tc>
        <w:tcPr>
          <w:tcW w:w="948" w:type="dxa"/>
          <w:tcMar>
            <w:left w:w="57" w:type="dxa"/>
            <w:right w:w="57" w:type="dxa"/>
          </w:tcMar>
          <w:vAlign w:val="center"/>
        </w:tcPr>
        <w:p w:rsidR="00F845F8" w:rsidRPr="00B467BC" w:rsidRDefault="00F845F8" w:rsidP="00F845F8">
          <w:pPr>
            <w:tabs>
              <w:tab w:val="center" w:pos="4252"/>
              <w:tab w:val="right" w:pos="8504"/>
            </w:tabs>
            <w:rPr>
              <w:rFonts w:ascii="Tahoma" w:hAnsi="Tahoma" w:cs="Tahoma"/>
              <w:szCs w:val="24"/>
              <w:lang w:val="es-ES" w:eastAsia="es-ES"/>
            </w:rPr>
          </w:pPr>
          <w:r>
            <w:rPr>
              <w:rFonts w:ascii="Tahoma" w:hAnsi="Tahoma" w:cs="Tahoma"/>
              <w:szCs w:val="24"/>
              <w:lang w:val="es-ES" w:eastAsia="es-ES"/>
            </w:rPr>
            <w:t xml:space="preserve">      4</w:t>
          </w:r>
        </w:p>
      </w:tc>
    </w:tr>
    <w:tr w:rsidR="00F845F8" w:rsidRPr="00B467BC" w:rsidTr="00C56218">
      <w:trPr>
        <w:cantSplit/>
        <w:trHeight w:val="399"/>
      </w:trPr>
      <w:tc>
        <w:tcPr>
          <w:tcW w:w="2434" w:type="dxa"/>
          <w:vMerge/>
        </w:tcPr>
        <w:p w:rsidR="00F845F8" w:rsidRPr="00B467BC" w:rsidRDefault="00F845F8" w:rsidP="00F845F8">
          <w:pPr>
            <w:tabs>
              <w:tab w:val="center" w:pos="4252"/>
              <w:tab w:val="right" w:pos="8504"/>
            </w:tabs>
            <w:rPr>
              <w:sz w:val="24"/>
              <w:szCs w:val="24"/>
              <w:lang w:val="es-ES" w:eastAsia="es-ES"/>
            </w:rPr>
          </w:pPr>
        </w:p>
      </w:tc>
      <w:tc>
        <w:tcPr>
          <w:tcW w:w="6603" w:type="dxa"/>
          <w:vMerge/>
        </w:tcPr>
        <w:p w:rsidR="00F845F8" w:rsidRPr="00B467BC" w:rsidRDefault="00F845F8" w:rsidP="00F845F8">
          <w:pPr>
            <w:tabs>
              <w:tab w:val="center" w:pos="4252"/>
              <w:tab w:val="right" w:pos="8504"/>
            </w:tabs>
            <w:rPr>
              <w:rFonts w:ascii="Tahoma" w:hAnsi="Tahoma" w:cs="Tahoma"/>
              <w:sz w:val="24"/>
              <w:szCs w:val="24"/>
              <w:lang w:val="es-ES" w:eastAsia="es-ES"/>
            </w:rPr>
          </w:pPr>
        </w:p>
      </w:tc>
      <w:tc>
        <w:tcPr>
          <w:tcW w:w="1417" w:type="dxa"/>
          <w:tcMar>
            <w:left w:w="57" w:type="dxa"/>
            <w:right w:w="57" w:type="dxa"/>
          </w:tcMar>
          <w:vAlign w:val="center"/>
        </w:tcPr>
        <w:p w:rsidR="00F845F8" w:rsidRPr="00B467BC" w:rsidRDefault="00F845F8" w:rsidP="00F845F8">
          <w:pPr>
            <w:tabs>
              <w:tab w:val="center" w:pos="4252"/>
              <w:tab w:val="right" w:pos="8504"/>
            </w:tabs>
            <w:rPr>
              <w:rFonts w:ascii="Tahoma" w:hAnsi="Tahoma" w:cs="Tahoma"/>
              <w:szCs w:val="24"/>
              <w:lang w:val="es-ES" w:eastAsia="es-ES"/>
            </w:rPr>
          </w:pPr>
          <w:r w:rsidRPr="00B467BC">
            <w:rPr>
              <w:rFonts w:ascii="Tahoma" w:hAnsi="Tahoma" w:cs="Tahoma"/>
              <w:b/>
              <w:szCs w:val="24"/>
              <w:lang w:val="es-ES" w:eastAsia="es-ES"/>
            </w:rPr>
            <w:t>Fecha:</w:t>
          </w:r>
          <w:r w:rsidRPr="00B467BC">
            <w:rPr>
              <w:rFonts w:ascii="Tahoma" w:hAnsi="Tahoma" w:cs="Tahoma"/>
              <w:szCs w:val="24"/>
              <w:lang w:val="es-ES" w:eastAsia="es-ES"/>
            </w:rPr>
            <w:t xml:space="preserve"> </w:t>
          </w:r>
        </w:p>
      </w:tc>
      <w:tc>
        <w:tcPr>
          <w:tcW w:w="948" w:type="dxa"/>
          <w:tcMar>
            <w:left w:w="57" w:type="dxa"/>
            <w:right w:w="57" w:type="dxa"/>
          </w:tcMar>
          <w:vAlign w:val="center"/>
        </w:tcPr>
        <w:p w:rsidR="00F845F8" w:rsidRPr="00B467BC" w:rsidRDefault="00F845F8" w:rsidP="00F845F8">
          <w:pPr>
            <w:tabs>
              <w:tab w:val="center" w:pos="4252"/>
              <w:tab w:val="right" w:pos="8504"/>
            </w:tabs>
            <w:rPr>
              <w:rFonts w:ascii="Tahoma" w:hAnsi="Tahoma" w:cs="Tahoma"/>
              <w:szCs w:val="24"/>
              <w:lang w:val="es-ES" w:eastAsia="es-ES"/>
            </w:rPr>
          </w:pPr>
          <w:r>
            <w:rPr>
              <w:rFonts w:ascii="Tahoma" w:hAnsi="Tahoma" w:cs="Tahoma"/>
              <w:szCs w:val="24"/>
              <w:lang w:val="es-ES" w:eastAsia="es-ES"/>
            </w:rPr>
            <w:t>06-15</w:t>
          </w:r>
        </w:p>
      </w:tc>
    </w:tr>
    <w:tr w:rsidR="00F845F8" w:rsidRPr="00B467BC" w:rsidTr="00C56218">
      <w:trPr>
        <w:cantSplit/>
        <w:trHeight w:val="399"/>
      </w:trPr>
      <w:tc>
        <w:tcPr>
          <w:tcW w:w="2434" w:type="dxa"/>
          <w:vMerge/>
        </w:tcPr>
        <w:p w:rsidR="00F845F8" w:rsidRPr="00B467BC" w:rsidRDefault="00F845F8" w:rsidP="00F845F8">
          <w:pPr>
            <w:tabs>
              <w:tab w:val="center" w:pos="4252"/>
              <w:tab w:val="right" w:pos="8504"/>
            </w:tabs>
            <w:rPr>
              <w:sz w:val="24"/>
              <w:szCs w:val="24"/>
              <w:lang w:val="es-ES" w:eastAsia="es-ES"/>
            </w:rPr>
          </w:pPr>
        </w:p>
      </w:tc>
      <w:tc>
        <w:tcPr>
          <w:tcW w:w="6603" w:type="dxa"/>
          <w:vMerge/>
        </w:tcPr>
        <w:p w:rsidR="00F845F8" w:rsidRPr="00B467BC" w:rsidRDefault="00F845F8" w:rsidP="00F845F8">
          <w:pPr>
            <w:tabs>
              <w:tab w:val="center" w:pos="4252"/>
              <w:tab w:val="right" w:pos="8504"/>
            </w:tabs>
            <w:rPr>
              <w:rFonts w:ascii="Tahoma" w:hAnsi="Tahoma" w:cs="Tahoma"/>
              <w:sz w:val="24"/>
              <w:szCs w:val="24"/>
              <w:lang w:val="es-ES" w:eastAsia="es-ES"/>
            </w:rPr>
          </w:pPr>
        </w:p>
      </w:tc>
      <w:tc>
        <w:tcPr>
          <w:tcW w:w="1417" w:type="dxa"/>
          <w:tcMar>
            <w:left w:w="57" w:type="dxa"/>
            <w:right w:w="57" w:type="dxa"/>
          </w:tcMar>
          <w:vAlign w:val="center"/>
        </w:tcPr>
        <w:p w:rsidR="00F845F8" w:rsidRPr="00B467BC" w:rsidRDefault="00F845F8" w:rsidP="00F845F8">
          <w:pPr>
            <w:tabs>
              <w:tab w:val="center" w:pos="4252"/>
              <w:tab w:val="right" w:pos="8504"/>
            </w:tabs>
            <w:rPr>
              <w:rFonts w:ascii="Tahoma" w:hAnsi="Tahoma" w:cs="Tahoma"/>
              <w:szCs w:val="24"/>
              <w:lang w:val="es-ES" w:eastAsia="es-ES"/>
            </w:rPr>
          </w:pPr>
          <w:r w:rsidRPr="00B467BC">
            <w:rPr>
              <w:rFonts w:ascii="Tahoma" w:hAnsi="Tahoma" w:cs="Tahoma"/>
              <w:b/>
              <w:szCs w:val="24"/>
              <w:lang w:val="es-ES" w:eastAsia="es-ES"/>
            </w:rPr>
            <w:t xml:space="preserve">Página </w:t>
          </w:r>
        </w:p>
      </w:tc>
      <w:tc>
        <w:tcPr>
          <w:tcW w:w="948" w:type="dxa"/>
          <w:tcMar>
            <w:left w:w="57" w:type="dxa"/>
            <w:right w:w="57" w:type="dxa"/>
          </w:tcMar>
          <w:vAlign w:val="center"/>
        </w:tcPr>
        <w:p w:rsidR="00F845F8" w:rsidRPr="00B467BC" w:rsidRDefault="00F845F8" w:rsidP="00F845F8">
          <w:pPr>
            <w:tabs>
              <w:tab w:val="center" w:pos="4252"/>
              <w:tab w:val="right" w:pos="8504"/>
            </w:tabs>
            <w:rPr>
              <w:rFonts w:ascii="Tahoma" w:hAnsi="Tahoma" w:cs="Tahoma"/>
              <w:szCs w:val="24"/>
              <w:lang w:val="es-ES" w:eastAsia="es-ES"/>
            </w:rPr>
          </w:pPr>
          <w:r w:rsidRPr="00B467BC">
            <w:rPr>
              <w:rFonts w:ascii="Tahoma" w:hAnsi="Tahoma" w:cs="Tahoma"/>
              <w:szCs w:val="24"/>
              <w:lang w:val="es-ES" w:eastAsia="es-ES"/>
            </w:rPr>
            <w:fldChar w:fldCharType="begin"/>
          </w:r>
          <w:r w:rsidRPr="00B467BC">
            <w:rPr>
              <w:rFonts w:ascii="Tahoma" w:hAnsi="Tahoma" w:cs="Tahoma"/>
              <w:szCs w:val="24"/>
              <w:lang w:val="es-ES" w:eastAsia="es-ES"/>
            </w:rPr>
            <w:instrText xml:space="preserve"> </w:instrText>
          </w:r>
          <w:r>
            <w:rPr>
              <w:rFonts w:ascii="Tahoma" w:hAnsi="Tahoma" w:cs="Tahoma"/>
              <w:szCs w:val="24"/>
              <w:lang w:val="es-ES" w:eastAsia="es-ES"/>
            </w:rPr>
            <w:instrText>PAGE</w:instrText>
          </w:r>
          <w:r w:rsidRPr="00B467BC">
            <w:rPr>
              <w:rFonts w:ascii="Tahoma" w:hAnsi="Tahoma" w:cs="Tahoma"/>
              <w:szCs w:val="24"/>
              <w:lang w:val="es-ES" w:eastAsia="es-ES"/>
            </w:rPr>
            <w:instrText xml:space="preserve"> </w:instrText>
          </w:r>
          <w:r w:rsidRPr="00B467BC">
            <w:rPr>
              <w:rFonts w:ascii="Tahoma" w:hAnsi="Tahoma" w:cs="Tahoma"/>
              <w:szCs w:val="24"/>
              <w:lang w:val="es-ES" w:eastAsia="es-ES"/>
            </w:rPr>
            <w:fldChar w:fldCharType="separate"/>
          </w:r>
          <w:r>
            <w:rPr>
              <w:rFonts w:ascii="Tahoma" w:hAnsi="Tahoma" w:cs="Tahoma"/>
              <w:szCs w:val="24"/>
              <w:lang w:val="es-ES" w:eastAsia="es-ES"/>
            </w:rPr>
            <w:t>3</w:t>
          </w:r>
          <w:r w:rsidRPr="00B467BC">
            <w:rPr>
              <w:rFonts w:ascii="Tahoma" w:hAnsi="Tahoma" w:cs="Tahoma"/>
              <w:szCs w:val="24"/>
              <w:lang w:val="es-ES" w:eastAsia="es-ES"/>
            </w:rPr>
            <w:fldChar w:fldCharType="end"/>
          </w:r>
          <w:r w:rsidRPr="00B467BC">
            <w:rPr>
              <w:rFonts w:ascii="Tahoma" w:hAnsi="Tahoma" w:cs="Tahoma"/>
              <w:szCs w:val="24"/>
              <w:lang w:val="es-ES" w:eastAsia="es-ES"/>
            </w:rPr>
            <w:t xml:space="preserve"> de </w:t>
          </w:r>
          <w:r w:rsidRPr="00B467BC">
            <w:rPr>
              <w:rFonts w:ascii="Tahoma" w:hAnsi="Tahoma" w:cs="Tahoma"/>
              <w:szCs w:val="24"/>
              <w:lang w:val="es-ES" w:eastAsia="es-ES"/>
            </w:rPr>
            <w:fldChar w:fldCharType="begin"/>
          </w:r>
          <w:r w:rsidRPr="00B467BC">
            <w:rPr>
              <w:rFonts w:ascii="Tahoma" w:hAnsi="Tahoma" w:cs="Tahoma"/>
              <w:szCs w:val="24"/>
              <w:lang w:val="es-ES" w:eastAsia="es-ES"/>
            </w:rPr>
            <w:instrText xml:space="preserve"> </w:instrText>
          </w:r>
          <w:r>
            <w:rPr>
              <w:rFonts w:ascii="Tahoma" w:hAnsi="Tahoma" w:cs="Tahoma"/>
              <w:szCs w:val="24"/>
              <w:lang w:val="es-ES" w:eastAsia="es-ES"/>
            </w:rPr>
            <w:instrText>NUMPAGES</w:instrText>
          </w:r>
          <w:r w:rsidRPr="00B467BC">
            <w:rPr>
              <w:rFonts w:ascii="Tahoma" w:hAnsi="Tahoma" w:cs="Tahoma"/>
              <w:szCs w:val="24"/>
              <w:lang w:val="es-ES" w:eastAsia="es-ES"/>
            </w:rPr>
            <w:instrText xml:space="preserve"> </w:instrText>
          </w:r>
          <w:r w:rsidRPr="00B467BC">
            <w:rPr>
              <w:rFonts w:ascii="Tahoma" w:hAnsi="Tahoma" w:cs="Tahoma"/>
              <w:szCs w:val="24"/>
              <w:lang w:val="es-ES" w:eastAsia="es-ES"/>
            </w:rPr>
            <w:fldChar w:fldCharType="separate"/>
          </w:r>
          <w:r>
            <w:rPr>
              <w:rFonts w:ascii="Tahoma" w:hAnsi="Tahoma" w:cs="Tahoma"/>
              <w:szCs w:val="24"/>
              <w:lang w:val="es-ES" w:eastAsia="es-ES"/>
            </w:rPr>
            <w:t>5</w:t>
          </w:r>
          <w:r w:rsidRPr="00B467BC">
            <w:rPr>
              <w:rFonts w:ascii="Tahoma" w:hAnsi="Tahoma" w:cs="Tahoma"/>
              <w:szCs w:val="24"/>
              <w:lang w:val="es-ES" w:eastAsia="es-ES"/>
            </w:rPr>
            <w:fldChar w:fldCharType="end"/>
          </w:r>
        </w:p>
      </w:tc>
    </w:tr>
  </w:tbl>
  <w:p w:rsidR="00F845F8" w:rsidRDefault="00F845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8278D828"/>
    <w:name w:val="WW8Num3"/>
    <w:lvl w:ilvl="0">
      <w:start w:val="1"/>
      <w:numFmt w:val="decimal"/>
      <w:lvlText w:val="%1."/>
      <w:lvlJc w:val="left"/>
      <w:pPr>
        <w:tabs>
          <w:tab w:val="num" w:pos="502"/>
        </w:tabs>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15B41DE"/>
    <w:multiLevelType w:val="hybridMultilevel"/>
    <w:tmpl w:val="E5DCDBFA"/>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3" w15:restartNumberingAfterBreak="0">
    <w:nsid w:val="1BAA0FED"/>
    <w:multiLevelType w:val="hybridMultilevel"/>
    <w:tmpl w:val="36A0F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pStyle w:val="Ttulo3"/>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19E2CBE"/>
    <w:multiLevelType w:val="hybridMultilevel"/>
    <w:tmpl w:val="BF7C9122"/>
    <w:lvl w:ilvl="0" w:tplc="8294D30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6501C0D"/>
    <w:multiLevelType w:val="hybridMultilevel"/>
    <w:tmpl w:val="95CAE1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16078BE"/>
    <w:multiLevelType w:val="hybridMultilevel"/>
    <w:tmpl w:val="E4BED63C"/>
    <w:lvl w:ilvl="0" w:tplc="240A000F">
      <w:start w:val="1"/>
      <w:numFmt w:val="decimal"/>
      <w:lvlText w:val="%1."/>
      <w:lvlJc w:val="left"/>
      <w:pPr>
        <w:ind w:left="502" w:hanging="360"/>
      </w:pPr>
    </w:lvl>
    <w:lvl w:ilvl="1" w:tplc="240A0019">
      <w:start w:val="1"/>
      <w:numFmt w:val="lowerLetter"/>
      <w:lvlText w:val="%2."/>
      <w:lvlJc w:val="left"/>
      <w:pPr>
        <w:ind w:left="1222" w:hanging="360"/>
      </w:pPr>
    </w:lvl>
    <w:lvl w:ilvl="2" w:tplc="240A001B">
      <w:start w:val="1"/>
      <w:numFmt w:val="lowerRoman"/>
      <w:lvlText w:val="%3."/>
      <w:lvlJc w:val="right"/>
      <w:pPr>
        <w:ind w:left="1942" w:hanging="180"/>
      </w:pPr>
    </w:lvl>
    <w:lvl w:ilvl="3" w:tplc="240A000F">
      <w:start w:val="1"/>
      <w:numFmt w:val="decimal"/>
      <w:lvlText w:val="%4."/>
      <w:lvlJc w:val="left"/>
      <w:pPr>
        <w:ind w:left="2662" w:hanging="360"/>
      </w:pPr>
    </w:lvl>
    <w:lvl w:ilvl="4" w:tplc="240A0019">
      <w:start w:val="1"/>
      <w:numFmt w:val="lowerLetter"/>
      <w:lvlText w:val="%5."/>
      <w:lvlJc w:val="left"/>
      <w:pPr>
        <w:ind w:left="3382" w:hanging="360"/>
      </w:pPr>
    </w:lvl>
    <w:lvl w:ilvl="5" w:tplc="240A001B">
      <w:start w:val="1"/>
      <w:numFmt w:val="lowerRoman"/>
      <w:lvlText w:val="%6."/>
      <w:lvlJc w:val="right"/>
      <w:pPr>
        <w:ind w:left="4102" w:hanging="180"/>
      </w:pPr>
    </w:lvl>
    <w:lvl w:ilvl="6" w:tplc="240A000F">
      <w:start w:val="1"/>
      <w:numFmt w:val="decimal"/>
      <w:lvlText w:val="%7."/>
      <w:lvlJc w:val="left"/>
      <w:pPr>
        <w:ind w:left="4822" w:hanging="360"/>
      </w:pPr>
    </w:lvl>
    <w:lvl w:ilvl="7" w:tplc="240A0019">
      <w:start w:val="1"/>
      <w:numFmt w:val="lowerLetter"/>
      <w:lvlText w:val="%8."/>
      <w:lvlJc w:val="left"/>
      <w:pPr>
        <w:ind w:left="5542" w:hanging="360"/>
      </w:pPr>
    </w:lvl>
    <w:lvl w:ilvl="8" w:tplc="240A001B">
      <w:start w:val="1"/>
      <w:numFmt w:val="lowerRoman"/>
      <w:lvlText w:val="%9."/>
      <w:lvlJc w:val="right"/>
      <w:pPr>
        <w:ind w:left="6262" w:hanging="18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B3A"/>
    <w:rsid w:val="00002CBF"/>
    <w:rsid w:val="00012550"/>
    <w:rsid w:val="000450DB"/>
    <w:rsid w:val="0005415C"/>
    <w:rsid w:val="000821C6"/>
    <w:rsid w:val="000A5179"/>
    <w:rsid w:val="000A6FB7"/>
    <w:rsid w:val="000D076B"/>
    <w:rsid w:val="000D2AE4"/>
    <w:rsid w:val="000E1649"/>
    <w:rsid w:val="000E77AD"/>
    <w:rsid w:val="00170E21"/>
    <w:rsid w:val="001C36F0"/>
    <w:rsid w:val="001E235A"/>
    <w:rsid w:val="00296669"/>
    <w:rsid w:val="002B2B16"/>
    <w:rsid w:val="002E0E89"/>
    <w:rsid w:val="00305A6D"/>
    <w:rsid w:val="00337A2B"/>
    <w:rsid w:val="00386DF6"/>
    <w:rsid w:val="003A0633"/>
    <w:rsid w:val="003A258B"/>
    <w:rsid w:val="004D2E65"/>
    <w:rsid w:val="00523E5B"/>
    <w:rsid w:val="00571447"/>
    <w:rsid w:val="005B2619"/>
    <w:rsid w:val="00600729"/>
    <w:rsid w:val="00607C8B"/>
    <w:rsid w:val="00621B22"/>
    <w:rsid w:val="00635833"/>
    <w:rsid w:val="00641D49"/>
    <w:rsid w:val="006672D2"/>
    <w:rsid w:val="00672A06"/>
    <w:rsid w:val="00787C71"/>
    <w:rsid w:val="00795FAF"/>
    <w:rsid w:val="007B02A0"/>
    <w:rsid w:val="00861C4C"/>
    <w:rsid w:val="00877D7C"/>
    <w:rsid w:val="008E46E0"/>
    <w:rsid w:val="00923EA2"/>
    <w:rsid w:val="009414DC"/>
    <w:rsid w:val="00970DD3"/>
    <w:rsid w:val="009928AB"/>
    <w:rsid w:val="009D3B3A"/>
    <w:rsid w:val="009D41E8"/>
    <w:rsid w:val="00A0671A"/>
    <w:rsid w:val="00A55027"/>
    <w:rsid w:val="00A577D0"/>
    <w:rsid w:val="00B31B6D"/>
    <w:rsid w:val="00B671EE"/>
    <w:rsid w:val="00B93DD4"/>
    <w:rsid w:val="00BA7E8D"/>
    <w:rsid w:val="00CC73B3"/>
    <w:rsid w:val="00CE7629"/>
    <w:rsid w:val="00D114BA"/>
    <w:rsid w:val="00D31842"/>
    <w:rsid w:val="00D53A00"/>
    <w:rsid w:val="00D6016A"/>
    <w:rsid w:val="00D94A07"/>
    <w:rsid w:val="00DD11C2"/>
    <w:rsid w:val="00E33B2F"/>
    <w:rsid w:val="00E43181"/>
    <w:rsid w:val="00E86FA2"/>
    <w:rsid w:val="00EA3D06"/>
    <w:rsid w:val="00F11306"/>
    <w:rsid w:val="00F22E81"/>
    <w:rsid w:val="00F3185B"/>
    <w:rsid w:val="00F4137E"/>
    <w:rsid w:val="00F845F8"/>
    <w:rsid w:val="00FE31B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0BC885"/>
  <w15:docId w15:val="{9DB5841C-FBFE-4333-B2E1-621ECFE70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3B3A"/>
    <w:pPr>
      <w:spacing w:after="200" w:line="276" w:lineRule="auto"/>
    </w:pPr>
  </w:style>
  <w:style w:type="paragraph" w:styleId="Ttulo3">
    <w:name w:val="heading 3"/>
    <w:basedOn w:val="Normal"/>
    <w:next w:val="Normal"/>
    <w:link w:val="Ttulo3Car"/>
    <w:qFormat/>
    <w:rsid w:val="00F845F8"/>
    <w:pPr>
      <w:keepNext/>
      <w:widowControl w:val="0"/>
      <w:numPr>
        <w:ilvl w:val="2"/>
        <w:numId w:val="1"/>
      </w:numPr>
      <w:suppressAutoHyphens/>
      <w:overflowPunct w:val="0"/>
      <w:autoSpaceDE w:val="0"/>
      <w:spacing w:after="0" w:line="240" w:lineRule="auto"/>
      <w:jc w:val="both"/>
      <w:textAlignment w:val="baseline"/>
      <w:outlineLvl w:val="2"/>
    </w:pPr>
    <w:rPr>
      <w:rFonts w:ascii="Arial" w:eastAsia="Times New Roman" w:hAnsi="Arial" w:cs="Arial"/>
      <w:b/>
      <w:color w:val="000000"/>
      <w:szCs w:val="20"/>
      <w:lang w:val="es-ES_tradnl"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4D2E65"/>
    <w:pPr>
      <w:suppressAutoHyphens/>
      <w:spacing w:after="0" w:line="240" w:lineRule="auto"/>
      <w:ind w:left="708"/>
    </w:pPr>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F84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845F8"/>
  </w:style>
  <w:style w:type="paragraph" w:styleId="Piedepgina">
    <w:name w:val="footer"/>
    <w:basedOn w:val="Normal"/>
    <w:link w:val="PiedepginaCar"/>
    <w:unhideWhenUsed/>
    <w:rsid w:val="00F845F8"/>
    <w:pPr>
      <w:tabs>
        <w:tab w:val="center" w:pos="4419"/>
        <w:tab w:val="right" w:pos="8838"/>
      </w:tabs>
      <w:spacing w:after="0" w:line="240" w:lineRule="auto"/>
    </w:pPr>
  </w:style>
  <w:style w:type="character" w:customStyle="1" w:styleId="PiedepginaCar">
    <w:name w:val="Pie de página Car"/>
    <w:basedOn w:val="Fuentedeprrafopredeter"/>
    <w:link w:val="Piedepgina"/>
    <w:rsid w:val="00F845F8"/>
  </w:style>
  <w:style w:type="character" w:styleId="Nmerodepgina">
    <w:name w:val="page number"/>
    <w:basedOn w:val="Fuentedeprrafopredeter"/>
    <w:rsid w:val="00F845F8"/>
  </w:style>
  <w:style w:type="character" w:customStyle="1" w:styleId="Ttulo3Car">
    <w:name w:val="Título 3 Car"/>
    <w:basedOn w:val="Fuentedeprrafopredeter"/>
    <w:link w:val="Ttulo3"/>
    <w:rsid w:val="00F845F8"/>
    <w:rPr>
      <w:rFonts w:ascii="Arial" w:eastAsia="Times New Roman" w:hAnsi="Arial" w:cs="Arial"/>
      <w:b/>
      <w:color w:val="000000"/>
      <w:szCs w:val="20"/>
      <w:lang w:val="es-ES_tradnl" w:eastAsia="zh-CN"/>
    </w:rPr>
  </w:style>
  <w:style w:type="paragraph" w:customStyle="1" w:styleId="Textoindependiente21">
    <w:name w:val="Texto independiente 21"/>
    <w:basedOn w:val="Normal"/>
    <w:rsid w:val="00F845F8"/>
    <w:pPr>
      <w:suppressAutoHyphens/>
      <w:spacing w:after="0" w:line="240" w:lineRule="auto"/>
    </w:pPr>
    <w:rPr>
      <w:rFonts w:ascii="Arial" w:eastAsia="Times New Roman" w:hAnsi="Arial" w:cs="Arial"/>
      <w:sz w:val="24"/>
      <w:szCs w:val="20"/>
      <w:lang w:val="es-ES_tradnl" w:eastAsia="zh-CN"/>
    </w:rPr>
  </w:style>
  <w:style w:type="paragraph" w:styleId="NormalWeb">
    <w:name w:val="Normal (Web)"/>
    <w:basedOn w:val="Normal"/>
    <w:uiPriority w:val="99"/>
    <w:unhideWhenUsed/>
    <w:rsid w:val="00F845F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WW-NormalWeb">
    <w:name w:val="WW-Normal (Web)"/>
    <w:basedOn w:val="Normal"/>
    <w:rsid w:val="00F845F8"/>
    <w:pPr>
      <w:widowControl w:val="0"/>
      <w:suppressAutoHyphens/>
      <w:autoSpaceDE w:val="0"/>
      <w:spacing w:before="100" w:after="0" w:line="240" w:lineRule="auto"/>
      <w:jc w:val="both"/>
    </w:pPr>
    <w:rPr>
      <w:rFonts w:ascii="Times New Roman" w:eastAsia="Times New Roman" w:hAnsi="Times New Roman" w:cs="Times New Roman"/>
      <w:sz w:val="20"/>
      <w:szCs w:val="20"/>
      <w:lang w:val="es-ES_tradnl" w:eastAsia="zh-CN"/>
    </w:rPr>
  </w:style>
  <w:style w:type="paragraph" w:styleId="Sinespaciado">
    <w:name w:val="No Spacing"/>
    <w:uiPriority w:val="1"/>
    <w:qFormat/>
    <w:rsid w:val="001E235A"/>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61413">
      <w:bodyDiv w:val="1"/>
      <w:marLeft w:val="0"/>
      <w:marRight w:val="0"/>
      <w:marTop w:val="0"/>
      <w:marBottom w:val="0"/>
      <w:divBdr>
        <w:top w:val="none" w:sz="0" w:space="0" w:color="auto"/>
        <w:left w:val="none" w:sz="0" w:space="0" w:color="auto"/>
        <w:bottom w:val="none" w:sz="0" w:space="0" w:color="auto"/>
        <w:right w:val="none" w:sz="0" w:space="0" w:color="auto"/>
      </w:divBdr>
    </w:div>
    <w:div w:id="152936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mprenta.gov.co/diariop/diario2.pdf?p_tipo=03&amp;p_numero=00001841&amp;p_fecha=28/05/2013&amp;p_consec=13229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2086</Words>
  <Characters>11477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gestion</dc:creator>
  <cp:lastModifiedBy>Maria Isabel Zapata Cardona</cp:lastModifiedBy>
  <cp:revision>4</cp:revision>
  <dcterms:created xsi:type="dcterms:W3CDTF">2020-10-28T14:56:00Z</dcterms:created>
  <dcterms:modified xsi:type="dcterms:W3CDTF">2020-10-29T19:24:00Z</dcterms:modified>
</cp:coreProperties>
</file>