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36F23" w:rsidRPr="00DF5C12" w:rsidRDefault="00036F23" w:rsidP="00036F23">
      <w:pPr>
        <w:pStyle w:val="Textoindependiente21"/>
        <w:numPr>
          <w:ilvl w:val="0"/>
          <w:numId w:val="30"/>
        </w:numPr>
        <w:jc w:val="center"/>
        <w:rPr>
          <w:sz w:val="22"/>
          <w:szCs w:val="22"/>
        </w:rPr>
      </w:pPr>
      <w:r w:rsidRPr="00DF5C12">
        <w:rPr>
          <w:b/>
          <w:bCs/>
          <w:sz w:val="22"/>
          <w:szCs w:val="22"/>
        </w:rPr>
        <w:t>IDENTIFICACION Y DESCRIPCIÓN DE LA NECESIDAD</w:t>
      </w:r>
    </w:p>
    <w:p w:rsidR="00036F23" w:rsidRPr="00DF5C12" w:rsidRDefault="00036F23" w:rsidP="00036F23">
      <w:pPr>
        <w:shd w:val="clear" w:color="auto" w:fill="FFFFFF"/>
        <w:spacing w:before="245"/>
        <w:ind w:right="110"/>
        <w:jc w:val="both"/>
        <w:rPr>
          <w:rFonts w:ascii="Arial" w:hAnsi="Arial" w:cs="Arial"/>
          <w:color w:val="000000"/>
          <w:sz w:val="22"/>
          <w:szCs w:val="22"/>
          <w:shd w:val="clear" w:color="auto" w:fill="FFFFFF"/>
        </w:rPr>
      </w:pPr>
      <w:r w:rsidRPr="00DF5C12">
        <w:rPr>
          <w:rFonts w:ascii="Arial" w:hAnsi="Arial" w:cs="Arial"/>
          <w:color w:val="000000"/>
          <w:spacing w:val="-3"/>
          <w:sz w:val="22"/>
          <w:szCs w:val="22"/>
          <w:lang w:val="es-ES_tradnl"/>
        </w:rPr>
        <w:t xml:space="preserve">En el marco del Plan Decenal de salud pública PDSP 2012-2021 adoptado mediante </w:t>
      </w:r>
      <w:hyperlink r:id="rId7" w:tgtFrame="_blank" w:history="1">
        <w:r w:rsidRPr="00DF5C12">
          <w:rPr>
            <w:rFonts w:ascii="Arial" w:hAnsi="Arial" w:cs="Arial"/>
            <w:color w:val="000000"/>
            <w:spacing w:val="-3"/>
            <w:sz w:val="22"/>
            <w:szCs w:val="22"/>
            <w:lang w:val="es-ES_tradnl"/>
          </w:rPr>
          <w:t>Resolución 1841 de 2013 PDSP</w:t>
        </w:r>
      </w:hyperlink>
      <w:r w:rsidRPr="00DF5C12">
        <w:rPr>
          <w:rFonts w:ascii="Arial" w:hAnsi="Arial" w:cs="Arial"/>
          <w:color w:val="000000"/>
          <w:spacing w:val="-3"/>
          <w:sz w:val="22"/>
          <w:szCs w:val="22"/>
          <w:lang w:val="es-ES_tradnl"/>
        </w:rPr>
        <w:t xml:space="preserve">, y que tiene como producto </w:t>
      </w:r>
      <w:r w:rsidRPr="00DF5C12">
        <w:rPr>
          <w:rFonts w:ascii="Arial" w:hAnsi="Arial" w:cs="Arial"/>
          <w:color w:val="000000"/>
          <w:sz w:val="22"/>
          <w:szCs w:val="22"/>
          <w:lang w:val="es-ES_tradnl"/>
        </w:rPr>
        <w:t xml:space="preserve">del Plan </w:t>
      </w:r>
      <w:r w:rsidRPr="00DF5C12">
        <w:rPr>
          <w:rFonts w:ascii="Arial" w:hAnsi="Arial" w:cs="Arial"/>
          <w:color w:val="000000"/>
          <w:spacing w:val="-3"/>
          <w:sz w:val="22"/>
          <w:szCs w:val="22"/>
          <w:lang w:val="es-ES_tradnl"/>
        </w:rPr>
        <w:t xml:space="preserve">Nacional de Desarrollo 2018-2022 “Pacto por Colombia, pacto por la equidad”,  </w:t>
      </w:r>
      <w:r w:rsidRPr="00DF5C12">
        <w:rPr>
          <w:rFonts w:ascii="Arial" w:hAnsi="Arial" w:cs="Arial"/>
          <w:sz w:val="22"/>
          <w:szCs w:val="22"/>
          <w:shd w:val="clear" w:color="auto" w:fill="FFFFFF"/>
        </w:rPr>
        <w:t xml:space="preserve">cuyo objetivo es el de marcar los lineamientos para el crecimiento y mejoramiento del país y determina los procesos que se deben llevar a cabo para cumplir con estas metas. </w:t>
      </w:r>
      <w:r w:rsidRPr="00DF5C12">
        <w:rPr>
          <w:rFonts w:ascii="Arial" w:hAnsi="Arial" w:cs="Arial"/>
          <w:color w:val="000000"/>
          <w:sz w:val="22"/>
          <w:szCs w:val="22"/>
          <w:shd w:val="clear" w:color="auto" w:fill="FFFFFF"/>
        </w:rPr>
        <w:t>El Plan Nacional de Desarrollo busca alcanzar la inclusión social y productiva, a través del Emprendimiento y la Legalidad. Legalidad como semilla, el emprendimiento como tronco de crecimiento y la equidad como fruto, para construir el futuro de Colombia.</w:t>
      </w:r>
    </w:p>
    <w:p w:rsidR="00036F23" w:rsidRPr="00DF5C12" w:rsidRDefault="00036F23" w:rsidP="00036F23">
      <w:pPr>
        <w:shd w:val="clear" w:color="auto" w:fill="FFFFFF"/>
        <w:jc w:val="center"/>
        <w:outlineLvl w:val="2"/>
        <w:rPr>
          <w:rFonts w:ascii="Arial" w:hAnsi="Arial" w:cs="Arial"/>
          <w:b/>
          <w:color w:val="000000"/>
          <w:sz w:val="22"/>
          <w:szCs w:val="22"/>
          <w:lang w:eastAsia="es-CO"/>
        </w:rPr>
      </w:pPr>
      <w:r w:rsidRPr="00DF5C12">
        <w:rPr>
          <w:rFonts w:ascii="Arial" w:hAnsi="Arial" w:cs="Arial"/>
          <w:b/>
          <w:color w:val="000000"/>
          <w:sz w:val="22"/>
          <w:szCs w:val="22"/>
          <w:lang w:eastAsia="es-CO"/>
        </w:rPr>
        <w:t>Legalidad</w:t>
      </w:r>
    </w:p>
    <w:p w:rsidR="00036F23" w:rsidRPr="00DF5C12" w:rsidRDefault="00036F23" w:rsidP="00036F23">
      <w:pPr>
        <w:shd w:val="clear" w:color="auto" w:fill="FFFFFF"/>
        <w:jc w:val="both"/>
        <w:rPr>
          <w:rFonts w:ascii="Arial" w:hAnsi="Arial" w:cs="Arial"/>
          <w:color w:val="000000"/>
          <w:sz w:val="22"/>
          <w:szCs w:val="22"/>
          <w:lang w:eastAsia="es-CO"/>
        </w:rPr>
      </w:pPr>
      <w:r w:rsidRPr="00DF5C12">
        <w:rPr>
          <w:rFonts w:ascii="Arial" w:hAnsi="Arial" w:cs="Arial"/>
          <w:color w:val="000000"/>
          <w:sz w:val="22"/>
          <w:szCs w:val="22"/>
          <w:lang w:eastAsia="es-CO"/>
        </w:rPr>
        <w:t>Seguridad efectiva y justicia transparente para que todos vivamos con libertad y en democracia. Consolidación del Estado Social de Derecho, para garantizar la protección a la vida, honra y bienes de todos los colombianos, así como el imperio de la Ley.</w:t>
      </w:r>
    </w:p>
    <w:p w:rsidR="00036F23" w:rsidRPr="00DF5C12" w:rsidRDefault="00036F23" w:rsidP="00036F23">
      <w:pPr>
        <w:pStyle w:val="Ttulo3"/>
        <w:shd w:val="clear" w:color="auto" w:fill="FFFFFF"/>
        <w:jc w:val="center"/>
        <w:rPr>
          <w:bCs/>
          <w:szCs w:val="22"/>
        </w:rPr>
      </w:pPr>
      <w:r w:rsidRPr="00DF5C12">
        <w:rPr>
          <w:bCs/>
          <w:szCs w:val="22"/>
        </w:rPr>
        <w:t>Emprendimiento</w:t>
      </w:r>
    </w:p>
    <w:p w:rsidR="00036F23" w:rsidRPr="00DF5C12" w:rsidRDefault="00036F23" w:rsidP="00036F23">
      <w:pPr>
        <w:pStyle w:val="NormalWeb"/>
        <w:shd w:val="clear" w:color="auto" w:fill="FFFFFF"/>
        <w:spacing w:before="0" w:beforeAutospacing="0" w:after="0" w:afterAutospacing="0"/>
        <w:jc w:val="both"/>
        <w:rPr>
          <w:rFonts w:ascii="Arial" w:hAnsi="Arial" w:cs="Arial"/>
          <w:color w:val="000000"/>
          <w:sz w:val="22"/>
          <w:szCs w:val="22"/>
        </w:rPr>
      </w:pPr>
      <w:r w:rsidRPr="00DF5C12">
        <w:rPr>
          <w:rFonts w:ascii="Arial" w:hAnsi="Arial" w:cs="Arial"/>
          <w:color w:val="000000"/>
          <w:sz w:val="22"/>
          <w:szCs w:val="22"/>
        </w:rPr>
        <w:t>El crecimiento económico se potenciará con un entorno favorable a la creación y consolidación de un tejido empresarial sólido y competitivo.</w:t>
      </w:r>
    </w:p>
    <w:p w:rsidR="00036F23" w:rsidRPr="00DF5C12" w:rsidRDefault="00036F23" w:rsidP="00036F23">
      <w:pPr>
        <w:pStyle w:val="Ttulo3"/>
        <w:shd w:val="clear" w:color="auto" w:fill="FFFFFF"/>
        <w:jc w:val="center"/>
        <w:rPr>
          <w:bCs/>
          <w:szCs w:val="22"/>
        </w:rPr>
      </w:pPr>
      <w:r w:rsidRPr="00DF5C12">
        <w:rPr>
          <w:bCs/>
          <w:szCs w:val="22"/>
        </w:rPr>
        <w:t>Equidad</w:t>
      </w:r>
    </w:p>
    <w:p w:rsidR="00036F23" w:rsidRPr="00DF5C12" w:rsidRDefault="00036F23" w:rsidP="00036F23">
      <w:pPr>
        <w:pStyle w:val="NormalWeb"/>
        <w:shd w:val="clear" w:color="auto" w:fill="FFFFFF"/>
        <w:spacing w:before="0" w:beforeAutospacing="0" w:after="0" w:afterAutospacing="0"/>
        <w:jc w:val="both"/>
        <w:rPr>
          <w:rFonts w:ascii="Arial" w:hAnsi="Arial" w:cs="Arial"/>
          <w:color w:val="000000"/>
          <w:sz w:val="22"/>
          <w:szCs w:val="22"/>
        </w:rPr>
      </w:pPr>
      <w:r w:rsidRPr="00DF5C12">
        <w:rPr>
          <w:rFonts w:ascii="Arial" w:hAnsi="Arial" w:cs="Arial"/>
          <w:color w:val="000000"/>
          <w:sz w:val="22"/>
          <w:szCs w:val="22"/>
        </w:rPr>
        <w:t>Un pacto por la equidad para ampliar las oportunidades de todas las familias colombianas.</w:t>
      </w:r>
    </w:p>
    <w:p w:rsidR="00036F23" w:rsidRPr="00DF5C12" w:rsidRDefault="00036F23" w:rsidP="00036F23">
      <w:pPr>
        <w:pStyle w:val="Textoindependiente21"/>
        <w:ind w:left="720"/>
        <w:jc w:val="both"/>
        <w:rPr>
          <w:sz w:val="22"/>
          <w:szCs w:val="22"/>
        </w:rPr>
      </w:pPr>
    </w:p>
    <w:p w:rsidR="00036F23" w:rsidRPr="00DF5C12" w:rsidRDefault="00036F23" w:rsidP="00036F23">
      <w:pPr>
        <w:pStyle w:val="Textoindependiente21"/>
        <w:jc w:val="both"/>
        <w:rPr>
          <w:bCs/>
          <w:sz w:val="22"/>
          <w:szCs w:val="22"/>
          <w:highlight w:val="cyan"/>
        </w:rPr>
      </w:pPr>
      <w:r w:rsidRPr="00DF5C12">
        <w:rPr>
          <w:bCs/>
          <w:sz w:val="22"/>
          <w:szCs w:val="22"/>
        </w:rPr>
        <w:t xml:space="preserve">El Plan Decenal de salud pública PDSP 2012-2021, plantea los siguientes objetivos: 1) Alcanzar mayor equidad en salud; 2) </w:t>
      </w:r>
      <w:r w:rsidRPr="00DF5C12">
        <w:rPr>
          <w:bCs/>
          <w:sz w:val="22"/>
          <w:szCs w:val="22"/>
          <w:lang w:val="es-CO"/>
        </w:rPr>
        <w:t>Mejorar las condiciones de vida y salud de la población</w:t>
      </w:r>
      <w:r w:rsidRPr="00DF5C12">
        <w:rPr>
          <w:bCs/>
          <w:sz w:val="22"/>
          <w:szCs w:val="22"/>
        </w:rPr>
        <w:t xml:space="preserve">; 3) </w:t>
      </w:r>
      <w:r w:rsidRPr="00DF5C12">
        <w:rPr>
          <w:bCs/>
          <w:sz w:val="22"/>
          <w:szCs w:val="22"/>
          <w:lang w:val="es-CO"/>
        </w:rPr>
        <w:t>Cero tolerancias con la morbilidad, la mortalidad y la discapacidad evitables</w:t>
      </w:r>
    </w:p>
    <w:p w:rsidR="00036F23" w:rsidRPr="00DF5C12" w:rsidRDefault="00036F23" w:rsidP="00036F23">
      <w:pPr>
        <w:pStyle w:val="Textoindependiente21"/>
        <w:jc w:val="both"/>
        <w:rPr>
          <w:bCs/>
          <w:sz w:val="22"/>
          <w:szCs w:val="22"/>
          <w:highlight w:val="cyan"/>
        </w:rPr>
      </w:pPr>
    </w:p>
    <w:p w:rsidR="00036F23" w:rsidRPr="00DF5C12" w:rsidRDefault="00036F23" w:rsidP="00036F23">
      <w:pPr>
        <w:pStyle w:val="Textoindependiente21"/>
        <w:jc w:val="both"/>
        <w:rPr>
          <w:bCs/>
          <w:sz w:val="22"/>
          <w:szCs w:val="22"/>
        </w:rPr>
      </w:pPr>
      <w:r w:rsidRPr="00DF5C12">
        <w:rPr>
          <w:bCs/>
          <w:sz w:val="22"/>
          <w:szCs w:val="22"/>
        </w:rPr>
        <w:t>Así mismo desde el plan se define como líneas prioritarias de intervención, la Dimensión denominada “</w:t>
      </w:r>
      <w:r w:rsidRPr="00DF5C12">
        <w:rPr>
          <w:bCs/>
          <w:sz w:val="22"/>
          <w:szCs w:val="22"/>
          <w:lang w:val="es-CO"/>
        </w:rPr>
        <w:t>Vida Saludable y condiciones no transmisibles</w:t>
      </w:r>
      <w:r w:rsidRPr="00DF5C12">
        <w:rPr>
          <w:bCs/>
          <w:sz w:val="22"/>
          <w:szCs w:val="22"/>
        </w:rPr>
        <w:t>” y la Dimensión “</w:t>
      </w:r>
      <w:r w:rsidRPr="00DF5C12">
        <w:rPr>
          <w:bCs/>
          <w:sz w:val="22"/>
          <w:szCs w:val="22"/>
          <w:lang w:val="es-CO"/>
        </w:rPr>
        <w:t>Modos, condiciones y estilos de vida saludables”</w:t>
      </w:r>
    </w:p>
    <w:p w:rsidR="00036F23" w:rsidRPr="00DF5C12" w:rsidRDefault="00036F23" w:rsidP="00036F23">
      <w:pPr>
        <w:pStyle w:val="Textoindependiente21"/>
        <w:jc w:val="both"/>
        <w:rPr>
          <w:bCs/>
          <w:sz w:val="22"/>
          <w:szCs w:val="22"/>
        </w:rPr>
      </w:pPr>
    </w:p>
    <w:p w:rsidR="00036F23" w:rsidRPr="00DF5C12" w:rsidRDefault="00036F23" w:rsidP="00036F23">
      <w:pPr>
        <w:pStyle w:val="Textoindependiente21"/>
        <w:jc w:val="both"/>
        <w:rPr>
          <w:bCs/>
          <w:sz w:val="22"/>
          <w:szCs w:val="22"/>
        </w:rPr>
      </w:pPr>
      <w:r w:rsidRPr="00DF5C12">
        <w:rPr>
          <w:bCs/>
          <w:sz w:val="22"/>
          <w:szCs w:val="22"/>
        </w:rPr>
        <w:t>Como objetivos de esta dimensión se tienen: a</w:t>
      </w:r>
      <w:r w:rsidRPr="00DF5C12">
        <w:rPr>
          <w:bCs/>
          <w:sz w:val="22"/>
          <w:szCs w:val="22"/>
          <w:lang w:val="es-CO"/>
        </w:rPr>
        <w:t xml:space="preserve">) Elevar, promover e implementar como prioridad en las políticas de todos los sectores y entornos, una agenda intersectorial para la promoción de la salud, el control de las enfermedades no transmisibles (ENT) y las alteraciones de la salud bucal, visual, auditiva y comunicativa, como parte de la lucha contra la pobreza y el desarrollo socioeconómico. b) Favorecer de manera progresiva y sostenida la reducción a la exposición a los factores de riesgo modificables en todas las etapas del transcurso de vida. c) Crear condiciones y capacidad de gestión de los servicios, para mejorar la accesibilidad, atención integral e integrada de las enfermedades no transmisibles (ENT) y las alteraciones de la salud bucal, visual y auditiva, reduciendo brechas en la morbilidad, mortalidad, discapacidad, eventos evitables y en los factores de riesgo modificables. d) Fortalecer la capacidad del país para gestionar y desarrollar la vigilancia, monitoreo social y económico de las políticas y las intervenciones de salud pública en coherencia con el marco global y regional para ENT incluidas las alteraciones de la salud bucal, visual y auditiva y sus determinantes sociales de la salud. e) Apoyar y fomentar el desarrollo de capacidades nacionales y territoriales para la investigación en materia de </w:t>
      </w:r>
      <w:r w:rsidRPr="00DF5C12">
        <w:rPr>
          <w:bCs/>
          <w:sz w:val="22"/>
          <w:szCs w:val="22"/>
          <w:lang w:val="es-CO"/>
        </w:rPr>
        <w:lastRenderedPageBreak/>
        <w:t>promoción de la salud, prevención y control de las ENT incluidas las alteraciones de la salud bucal, visual y auditiva y sus determinantes sociales de la salud.</w:t>
      </w:r>
    </w:p>
    <w:p w:rsidR="00036F23" w:rsidRPr="00DF5C12" w:rsidRDefault="00036F23" w:rsidP="00036F23">
      <w:pPr>
        <w:pStyle w:val="Textoindependiente21"/>
        <w:jc w:val="both"/>
        <w:rPr>
          <w:bCs/>
          <w:sz w:val="22"/>
          <w:szCs w:val="22"/>
        </w:rPr>
      </w:pPr>
    </w:p>
    <w:p w:rsidR="00036F23" w:rsidRPr="00DF5C12" w:rsidRDefault="00036F23" w:rsidP="00036F23">
      <w:pPr>
        <w:pStyle w:val="Textoindependiente21"/>
        <w:jc w:val="both"/>
        <w:rPr>
          <w:bCs/>
          <w:sz w:val="22"/>
          <w:szCs w:val="22"/>
        </w:rPr>
      </w:pPr>
      <w:r w:rsidRPr="00DF5C12">
        <w:rPr>
          <w:bCs/>
          <w:sz w:val="22"/>
          <w:szCs w:val="22"/>
        </w:rPr>
        <w:t xml:space="preserve">Los componentes de estas dimensiones se definen de la siguiente manera: </w:t>
      </w:r>
    </w:p>
    <w:p w:rsidR="00036F23" w:rsidRPr="00DF5C12" w:rsidRDefault="00036F23" w:rsidP="00036F23">
      <w:pPr>
        <w:pStyle w:val="Textoindependiente21"/>
        <w:jc w:val="both"/>
        <w:rPr>
          <w:bCs/>
          <w:sz w:val="22"/>
          <w:szCs w:val="22"/>
        </w:rPr>
      </w:pPr>
    </w:p>
    <w:p w:rsidR="00036F23" w:rsidRPr="00DF5C12" w:rsidRDefault="00036F23" w:rsidP="00036F23">
      <w:pPr>
        <w:pStyle w:val="Textoindependiente21"/>
        <w:jc w:val="both"/>
        <w:rPr>
          <w:sz w:val="22"/>
          <w:szCs w:val="22"/>
        </w:rPr>
      </w:pPr>
      <w:r w:rsidRPr="00DF5C12">
        <w:rPr>
          <w:sz w:val="22"/>
          <w:szCs w:val="22"/>
        </w:rPr>
        <w:t xml:space="preserve">a) Modos, condiciones y estilos de vida saludables </w:t>
      </w:r>
    </w:p>
    <w:p w:rsidR="00036F23" w:rsidRPr="00DF5C12" w:rsidRDefault="00036F23" w:rsidP="00036F23">
      <w:pPr>
        <w:pStyle w:val="Textoindependiente21"/>
        <w:jc w:val="both"/>
        <w:rPr>
          <w:sz w:val="22"/>
          <w:szCs w:val="22"/>
        </w:rPr>
      </w:pPr>
      <w:r w:rsidRPr="00DF5C12">
        <w:rPr>
          <w:sz w:val="22"/>
          <w:szCs w:val="22"/>
        </w:rPr>
        <w:t xml:space="preserve">b) Condiciones crónicas prevalentes </w:t>
      </w:r>
    </w:p>
    <w:p w:rsidR="00036F23" w:rsidRPr="00DF5C12" w:rsidRDefault="00036F23" w:rsidP="00036F23">
      <w:pPr>
        <w:pStyle w:val="Textoindependiente21"/>
        <w:jc w:val="both"/>
        <w:rPr>
          <w:sz w:val="22"/>
          <w:szCs w:val="22"/>
        </w:rPr>
      </w:pPr>
      <w:r w:rsidRPr="00DF5C12">
        <w:rPr>
          <w:sz w:val="22"/>
          <w:szCs w:val="22"/>
        </w:rPr>
        <w:t>c) Protección de la salud en los trabajadores</w:t>
      </w:r>
    </w:p>
    <w:p w:rsidR="00036F23" w:rsidRPr="00DF5C12" w:rsidRDefault="00036F23" w:rsidP="00036F23">
      <w:pPr>
        <w:pStyle w:val="Textoindependiente21"/>
        <w:jc w:val="both"/>
        <w:rPr>
          <w:bCs/>
          <w:sz w:val="22"/>
          <w:szCs w:val="22"/>
        </w:rPr>
      </w:pPr>
    </w:p>
    <w:p w:rsidR="00036F23" w:rsidRPr="00DF5C12" w:rsidRDefault="00036F23" w:rsidP="00036F23">
      <w:pPr>
        <w:pStyle w:val="Textoindependiente21"/>
        <w:jc w:val="both"/>
        <w:rPr>
          <w:bCs/>
          <w:sz w:val="22"/>
          <w:szCs w:val="22"/>
        </w:rPr>
      </w:pPr>
      <w:r w:rsidRPr="00DF5C12">
        <w:rPr>
          <w:bCs/>
          <w:sz w:val="22"/>
          <w:szCs w:val="22"/>
        </w:rPr>
        <w:t>Implementar los programas de enfermedades cardiovasculares, diabetes, enfermedad renal crónica, tamizaje cardiovascular, discapacidad, hábitos y estilos de vida saludable, salud bucal visual y auditiva, enfermedades respiratorias, cáncer, adulto mayor y donación de órganos del municipio, requiere garantizar espacios transectoriales y comunitarios que busquen la promoción de la salud, la prevención de enfermedades no trasmisibles, igualmente un pleno ejercicio de diagnóstico y atención integral, que incluya accesibilidad, oportunidad, pertinencia entre otras.</w:t>
      </w:r>
    </w:p>
    <w:p w:rsidR="00036F23" w:rsidRPr="00DF5C12" w:rsidRDefault="00036F23" w:rsidP="00036F23">
      <w:pPr>
        <w:pStyle w:val="Textoindependiente21"/>
        <w:jc w:val="both"/>
        <w:rPr>
          <w:bCs/>
          <w:sz w:val="22"/>
          <w:szCs w:val="22"/>
        </w:rPr>
      </w:pPr>
    </w:p>
    <w:p w:rsidR="00036F23" w:rsidRPr="00DF5C12" w:rsidRDefault="00036F23" w:rsidP="00036F23">
      <w:pPr>
        <w:pStyle w:val="Textoindependiente21"/>
        <w:jc w:val="both"/>
        <w:rPr>
          <w:bCs/>
          <w:sz w:val="22"/>
          <w:szCs w:val="22"/>
          <w:lang w:val="es-CO"/>
        </w:rPr>
      </w:pPr>
      <w:r w:rsidRPr="00DF5C12">
        <w:rPr>
          <w:bCs/>
          <w:sz w:val="22"/>
          <w:szCs w:val="22"/>
          <w:lang w:val="es-CO"/>
        </w:rPr>
        <w:t>El trabajo que se realiza desde la dimensión Vida saludable y condiciones Crónicas No Transmisibles está enmarcado en la necesidad que arrojan las estadísticas correspondientes a los factores de riesgo asociados. El primer lugar como causa de muerte se encuentra las enfermedades del sistema circulatorio la cual registro una tasa para el 2017 de 167,6 x 100.000 habitantes, el segundo lugar ocupado por el grupo de las demás causas que incluye en gran proporción de enfermedades crónicas como diabetes mellitus para el 2016 con una tasa de 18 x 100 mil habitantes vs para 2018 de 18,2 x 100 mil habitantes, estando inferior a la meta nacional.</w:t>
      </w:r>
    </w:p>
    <w:p w:rsidR="00036F23" w:rsidRPr="00DF5C12" w:rsidRDefault="00036F23" w:rsidP="00036F23">
      <w:pPr>
        <w:pStyle w:val="Textoindependiente21"/>
        <w:jc w:val="both"/>
        <w:rPr>
          <w:bCs/>
          <w:sz w:val="22"/>
          <w:szCs w:val="22"/>
          <w:lang w:val="es-CO"/>
        </w:rPr>
      </w:pPr>
      <w:r w:rsidRPr="00DF5C12">
        <w:rPr>
          <w:bCs/>
          <w:sz w:val="22"/>
          <w:szCs w:val="22"/>
          <w:lang w:val="es-CO"/>
        </w:rPr>
        <w:t>Para 2016 las enfermedades hipertensivas muestran un leve incremento respecto a la meta nacional, reportando para el 2018 año un aumento de la tasa de 2,3 x 100.000 habitantes. Para el año 2019 no se tiene aún registro de la tasa, debido a que la proporción de dicho dato por parte del DANE, apenas mostrara sus preliminares para finales del año vigente.</w:t>
      </w:r>
    </w:p>
    <w:p w:rsidR="00036F23" w:rsidRPr="00DF5C12" w:rsidRDefault="00036F23" w:rsidP="00036F23">
      <w:pPr>
        <w:pStyle w:val="Textoindependiente21"/>
        <w:jc w:val="both"/>
        <w:rPr>
          <w:bCs/>
          <w:sz w:val="22"/>
          <w:szCs w:val="22"/>
        </w:rPr>
      </w:pPr>
      <w:r w:rsidRPr="00DF5C12">
        <w:rPr>
          <w:bCs/>
          <w:sz w:val="22"/>
          <w:szCs w:val="22"/>
        </w:rPr>
        <w:t>Para el periodo entre 2016-2018 la tasa de mortalidad por cáncer de próstata solo mostró un cambio significativo en el 2017 con un descenso de la tasa al 13,4 (Para 2016 17,9 x 100 mil habitantes vs Para 2018 de 17,3 x 100 mil habitantes), lo que implica para la Secretaría trabajo por hacer en la detección temprana del mismo entre la población masculina.</w:t>
      </w:r>
    </w:p>
    <w:p w:rsidR="00036F23" w:rsidRPr="00DF5C12" w:rsidRDefault="00036F23" w:rsidP="00036F23">
      <w:pPr>
        <w:pStyle w:val="Textoindependiente21"/>
        <w:jc w:val="both"/>
        <w:rPr>
          <w:bCs/>
          <w:sz w:val="22"/>
          <w:szCs w:val="22"/>
        </w:rPr>
      </w:pPr>
    </w:p>
    <w:p w:rsidR="00036F23" w:rsidRPr="00DF5C12" w:rsidRDefault="00036F23" w:rsidP="00036F23">
      <w:pPr>
        <w:jc w:val="both"/>
        <w:rPr>
          <w:rFonts w:ascii="Arial" w:hAnsi="Arial" w:cs="Arial"/>
          <w:bCs/>
          <w:sz w:val="22"/>
          <w:szCs w:val="22"/>
        </w:rPr>
      </w:pPr>
      <w:r w:rsidRPr="00DF5C12">
        <w:rPr>
          <w:rFonts w:ascii="Arial" w:hAnsi="Arial" w:cs="Arial"/>
          <w:bCs/>
          <w:sz w:val="22"/>
          <w:szCs w:val="22"/>
        </w:rPr>
        <w:t xml:space="preserve">De acuerdo con la ley 1438 de 2011, la ejecución del Plan decenal  implica un liderazgo territorial de gobernadores y alcaldes, para lograr la integración y el compromiso de todos los sectores y actores en el territorio con el fin de desarrollar estrategias intersectoriales que impacten los determinantes sociales y económicos de la salud, y de la dimensión prioritaria de Vida Saludable y condiciones crónicas no transmisibles,  la cual contempla un conjunto de acciones sectoriales, transectoriales y comunitarias para promover las condiciones sociales, económicas, políticas y culturales que permitan, desde un enfoque de derechos </w:t>
      </w:r>
      <w:r w:rsidRPr="00DF5C12">
        <w:rPr>
          <w:rFonts w:ascii="Arial" w:hAnsi="Arial" w:cs="Arial"/>
          <w:bCs/>
          <w:sz w:val="22"/>
          <w:szCs w:val="22"/>
        </w:rPr>
        <w:lastRenderedPageBreak/>
        <w:t>humanos, el desarrollo de las potencialidades de las personas durante todo su ciclo vital; y el desarrollo social de los grupos y comunidades.</w:t>
      </w:r>
    </w:p>
    <w:p w:rsidR="00036F23" w:rsidRPr="00DF5C12" w:rsidRDefault="00036F23" w:rsidP="00036F23">
      <w:pPr>
        <w:jc w:val="both"/>
        <w:rPr>
          <w:rFonts w:ascii="Arial" w:hAnsi="Arial" w:cs="Arial"/>
          <w:snapToGrid w:val="0"/>
          <w:sz w:val="22"/>
          <w:szCs w:val="22"/>
        </w:rPr>
      </w:pPr>
    </w:p>
    <w:p w:rsidR="00036F23" w:rsidRPr="00DF5C12" w:rsidRDefault="00036F23" w:rsidP="00036F23">
      <w:pPr>
        <w:jc w:val="both"/>
        <w:rPr>
          <w:rFonts w:ascii="Arial" w:hAnsi="Arial" w:cs="Arial"/>
          <w:snapToGrid w:val="0"/>
          <w:sz w:val="22"/>
          <w:szCs w:val="22"/>
        </w:rPr>
      </w:pPr>
      <w:r w:rsidRPr="00DF5C12">
        <w:rPr>
          <w:rFonts w:ascii="Arial" w:hAnsi="Arial" w:cs="Arial"/>
          <w:snapToGrid w:val="0"/>
          <w:sz w:val="22"/>
          <w:szCs w:val="22"/>
        </w:rPr>
        <w:t>Es necesario continuar con un proceso que intervenga en la promoción de estilos de vida saludable y la prevención de condiciones</w:t>
      </w:r>
      <w:r w:rsidRPr="00DF5C12">
        <w:rPr>
          <w:rFonts w:ascii="Arial" w:hAnsi="Arial" w:cs="Arial"/>
          <w:bCs/>
          <w:snapToGrid w:val="0"/>
          <w:sz w:val="22"/>
          <w:szCs w:val="22"/>
        </w:rPr>
        <w:t xml:space="preserve"> no transmisibles</w:t>
      </w:r>
      <w:r w:rsidRPr="00DF5C12">
        <w:rPr>
          <w:rFonts w:ascii="Arial" w:hAnsi="Arial" w:cs="Arial"/>
          <w:snapToGrid w:val="0"/>
          <w:sz w:val="22"/>
          <w:szCs w:val="22"/>
        </w:rPr>
        <w:t>, por lo que entre otros, el plan de desarrollo “Hagamos un Plan -2020-2023” busca impulsar, mantener y fortalecer los siguientes productos:</w:t>
      </w:r>
      <w:r w:rsidRPr="00DF5C12">
        <w:rPr>
          <w:rFonts w:ascii="Arial" w:hAnsi="Arial" w:cs="Arial"/>
          <w:sz w:val="22"/>
          <w:szCs w:val="22"/>
        </w:rPr>
        <w:t xml:space="preserve"> </w:t>
      </w:r>
      <w:r w:rsidRPr="00DF5C12">
        <w:rPr>
          <w:rFonts w:ascii="Arial" w:hAnsi="Arial" w:cs="Arial"/>
          <w:snapToGrid w:val="0"/>
          <w:sz w:val="22"/>
          <w:szCs w:val="22"/>
        </w:rPr>
        <w:t xml:space="preserve">Instituciones prestadoras de servicios de salud con incremento en el cumplimiento de normatividad técnica en ruta de atención a grupo de riesgo con diagnóstico de hipertensión y diabetes, Instituciones prestadoras de servicios de salud con incremento en el cumplimiento de normatividad en atención en salud bucal, Estrategia RBC (Rehabilitación basada en la comunidad), estrategia CARMEN (Conjunto de acciones para la reducción multifactorial de enfermedades no transmisibles), CPSAM (Centros de Protección Social del adulto mayor) certificados para su funcionamiento de acuerdo a normatividad vigente, Atención integral al Adulto mayor y consolidar los Centros vida. Se busca entonces ejecutar estos procesos de manera integral cuyo radio de acción cobije a diferentes grupos poblacionales ya identificados, con una mirada epidemiológica de experiencia y experticia, que permita el análisis de los factores determinantes, la prevención y el control de los factores relacionados con </w:t>
      </w:r>
      <w:r w:rsidRPr="00DF5C12">
        <w:rPr>
          <w:rFonts w:ascii="Arial" w:hAnsi="Arial" w:cs="Arial"/>
          <w:sz w:val="22"/>
          <w:szCs w:val="22"/>
          <w:shd w:val="clear" w:color="auto" w:fill="FFFFFF"/>
        </w:rPr>
        <w:t xml:space="preserve">el fenómeno salud y enfermedad como un proceso dinámico donde el individuo y su entorno  pasa de un estado a otro, repetidamente, a lo largo de su vida y en este continuo, identificar los límites que se transforman en un problema de orden técnico que afecta la salud tanto individual como colectiva, </w:t>
      </w:r>
      <w:r w:rsidRPr="00DF5C12">
        <w:rPr>
          <w:rFonts w:ascii="Arial" w:hAnsi="Arial" w:cs="Arial"/>
          <w:snapToGrid w:val="0"/>
          <w:sz w:val="22"/>
          <w:szCs w:val="22"/>
        </w:rPr>
        <w:t xml:space="preserve"> intervenidos desde los programas “más aseguramiento con equidad” y “más salud con calidad y eficiencia para la gente de la Salud Pública”. </w:t>
      </w:r>
    </w:p>
    <w:p w:rsidR="00036F23" w:rsidRPr="00DF5C12" w:rsidRDefault="00036F23" w:rsidP="00036F23">
      <w:pPr>
        <w:jc w:val="both"/>
        <w:rPr>
          <w:rFonts w:ascii="Arial" w:hAnsi="Arial" w:cs="Arial"/>
          <w:snapToGrid w:val="0"/>
          <w:color w:val="FF0000"/>
          <w:sz w:val="22"/>
          <w:szCs w:val="22"/>
        </w:rPr>
      </w:pPr>
    </w:p>
    <w:p w:rsidR="00036F23" w:rsidRPr="00DF5C12" w:rsidRDefault="00036F23" w:rsidP="00036F23">
      <w:pPr>
        <w:jc w:val="both"/>
        <w:rPr>
          <w:rFonts w:ascii="Arial" w:hAnsi="Arial" w:cs="Arial"/>
          <w:sz w:val="22"/>
          <w:szCs w:val="22"/>
        </w:rPr>
      </w:pPr>
      <w:r w:rsidRPr="00DF5C12">
        <w:rPr>
          <w:rFonts w:ascii="Arial" w:hAnsi="Arial" w:cs="Arial"/>
          <w:sz w:val="22"/>
          <w:szCs w:val="22"/>
        </w:rPr>
        <w:t xml:space="preserve">La Secretaría de Salud Pública y Seguridad Social cuenta en la actualidad con personal de planta, el cual es insuficiente para el desarrollo de las actividades misionales, políticas y estratégicas que contempla el Plan de Desarrollo “Hagamos un plan 2020-2023” y particularmente el proyecto denominado </w:t>
      </w:r>
      <w:r w:rsidR="00134AA0">
        <w:t>FORTALECIMIENTO DEL CONTROL DE ENFERMEDADES CRÓNICAS, NO TRANSMISIBLES Y DEGENERATIVAS, CÁNCER DE INTERÉS EPIDEMIOLÓGICO EN EL MUNICIPIO DE PEREIRA</w:t>
      </w:r>
      <w:r w:rsidRPr="00DF5C12">
        <w:rPr>
          <w:rFonts w:ascii="Arial" w:hAnsi="Arial" w:cs="Arial"/>
          <w:color w:val="000000"/>
          <w:sz w:val="22"/>
          <w:szCs w:val="22"/>
        </w:rPr>
        <w:t>.</w:t>
      </w:r>
      <w:r w:rsidRPr="00DF5C12">
        <w:rPr>
          <w:rFonts w:ascii="Arial" w:hAnsi="Arial" w:cs="Arial"/>
          <w:sz w:val="22"/>
          <w:szCs w:val="22"/>
        </w:rPr>
        <w:t xml:space="preserve">, de ahí que se requiera la contratación de personal profesional universitario, con experiencia y el conocimiento para su ejecución de manera eficiente y eficaz dando continuidad a las actividades, programas, labores, procesos administrativos y demás que contribuya en una relación costo beneficio al fortalecimiento de la Administración Municipal desde la Secretaría de Salud Pública y Seguridad Social. </w:t>
      </w:r>
    </w:p>
    <w:p w:rsidR="00036F23" w:rsidRPr="00DF5C12" w:rsidRDefault="00036F23" w:rsidP="00036F23">
      <w:pPr>
        <w:jc w:val="both"/>
        <w:rPr>
          <w:rFonts w:ascii="Arial" w:hAnsi="Arial" w:cs="Arial"/>
          <w:b/>
          <w:sz w:val="22"/>
          <w:szCs w:val="22"/>
        </w:rPr>
      </w:pPr>
    </w:p>
    <w:p w:rsidR="00036F23" w:rsidRPr="00DF5C12" w:rsidRDefault="00036F23" w:rsidP="00036F23">
      <w:pPr>
        <w:jc w:val="both"/>
        <w:rPr>
          <w:rFonts w:ascii="Arial" w:hAnsi="Arial" w:cs="Arial"/>
          <w:sz w:val="22"/>
          <w:szCs w:val="22"/>
        </w:rPr>
      </w:pPr>
      <w:r w:rsidRPr="00DF5C12">
        <w:rPr>
          <w:rFonts w:ascii="Arial" w:hAnsi="Arial" w:cs="Arial"/>
          <w:sz w:val="22"/>
          <w:szCs w:val="22"/>
        </w:rPr>
        <w:t>Lo anterior permite contribuir con el cumplimiento del indicador descrito en “Hagamos un plan 2020-2023”, como es el porcentaje de ejecución anual del plan territorial de salud, y las competencias asignadas en la ley 100 de 1993, la 715 de 200, el Plan decenal de salud Pública, entre otras.</w:t>
      </w:r>
    </w:p>
    <w:p w:rsidR="00036F23" w:rsidRPr="00DF5C12" w:rsidRDefault="00036F23" w:rsidP="00036F23">
      <w:pPr>
        <w:autoSpaceDE w:val="0"/>
        <w:autoSpaceDN w:val="0"/>
        <w:adjustRightInd w:val="0"/>
        <w:jc w:val="both"/>
        <w:rPr>
          <w:rFonts w:ascii="Arial" w:hAnsi="Arial" w:cs="Arial"/>
          <w:b/>
          <w:bCs/>
          <w:sz w:val="22"/>
          <w:szCs w:val="22"/>
          <w:lang w:eastAsia="es-CO"/>
        </w:rPr>
      </w:pPr>
    </w:p>
    <w:p w:rsidR="00036F23" w:rsidRDefault="00036F23" w:rsidP="00036F23">
      <w:pPr>
        <w:jc w:val="both"/>
        <w:rPr>
          <w:rFonts w:ascii="Arial" w:hAnsi="Arial" w:cs="Arial"/>
          <w:b/>
          <w:color w:val="000000"/>
          <w:sz w:val="22"/>
          <w:szCs w:val="22"/>
        </w:rPr>
      </w:pPr>
    </w:p>
    <w:p w:rsidR="00036F23" w:rsidRDefault="00036F23"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tbl>
      <w:tblPr>
        <w:tblW w:w="8838" w:type="dxa"/>
        <w:tblCellMar>
          <w:left w:w="70" w:type="dxa"/>
          <w:right w:w="70" w:type="dxa"/>
        </w:tblCellMar>
        <w:tblLook w:val="04A0" w:firstRow="1" w:lastRow="0" w:firstColumn="1" w:lastColumn="0" w:noHBand="0" w:noVBand="1"/>
      </w:tblPr>
      <w:tblGrid>
        <w:gridCol w:w="8838"/>
      </w:tblGrid>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center"/>
              <w:rPr>
                <w:rFonts w:ascii="Arial" w:hAnsi="Arial" w:cs="Arial"/>
                <w:b/>
                <w:bCs/>
                <w:color w:val="000000"/>
                <w:sz w:val="22"/>
                <w:szCs w:val="22"/>
                <w:lang w:eastAsia="es-CO"/>
              </w:rPr>
            </w:pPr>
            <w:r w:rsidRPr="00134AA0">
              <w:rPr>
                <w:rFonts w:ascii="Arial" w:hAnsi="Arial" w:cs="Arial"/>
                <w:b/>
                <w:bCs/>
                <w:color w:val="000000"/>
                <w:sz w:val="22"/>
                <w:szCs w:val="22"/>
                <w:lang w:eastAsia="es-CO"/>
              </w:rPr>
              <w:t>PLAN DE DESARROLLO 2020-2023</w:t>
            </w: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center"/>
              <w:rPr>
                <w:rFonts w:ascii="Arial" w:hAnsi="Arial" w:cs="Arial"/>
                <w:b/>
                <w:bCs/>
                <w:color w:val="000000"/>
                <w:sz w:val="22"/>
                <w:szCs w:val="22"/>
                <w:lang w:eastAsia="es-CO"/>
              </w:rPr>
            </w:pP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lang w:eastAsia="es-CO"/>
              </w:rPr>
            </w:pP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r w:rsidRPr="00134AA0">
              <w:rPr>
                <w:rFonts w:ascii="Arial" w:hAnsi="Arial" w:cs="Arial"/>
                <w:b/>
                <w:bCs/>
                <w:color w:val="000000"/>
                <w:sz w:val="22"/>
                <w:szCs w:val="22"/>
                <w:lang w:eastAsia="es-CO"/>
              </w:rPr>
              <w:t>1.</w:t>
            </w:r>
            <w:r w:rsidRPr="00134AA0">
              <w:rPr>
                <w:b/>
                <w:bCs/>
                <w:color w:val="000000"/>
                <w:sz w:val="14"/>
                <w:szCs w:val="14"/>
                <w:lang w:eastAsia="es-CO"/>
              </w:rPr>
              <w:t xml:space="preserve">    </w:t>
            </w:r>
            <w:r w:rsidRPr="00134AA0">
              <w:rPr>
                <w:rFonts w:ascii="Arial" w:hAnsi="Arial" w:cs="Arial"/>
                <w:b/>
                <w:bCs/>
                <w:color w:val="000000"/>
                <w:sz w:val="22"/>
                <w:szCs w:val="22"/>
                <w:lang w:eastAsia="es-CO"/>
              </w:rPr>
              <w:t>LINEA ESTRATEGICA:</w:t>
            </w:r>
            <w:r w:rsidRPr="00134AA0">
              <w:rPr>
                <w:rFonts w:ascii="Arial" w:hAnsi="Arial" w:cs="Arial"/>
                <w:color w:val="000000"/>
                <w:sz w:val="22"/>
                <w:szCs w:val="22"/>
                <w:lang w:eastAsia="es-CO"/>
              </w:rPr>
              <w:t xml:space="preserve"> PEREIRA PARA LA GENTE</w:t>
            </w: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585"/>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r w:rsidRPr="00134AA0">
              <w:rPr>
                <w:rFonts w:ascii="Arial" w:hAnsi="Arial" w:cs="Arial"/>
                <w:b/>
                <w:bCs/>
                <w:color w:val="000000"/>
                <w:sz w:val="22"/>
                <w:szCs w:val="22"/>
                <w:lang w:eastAsia="es-CO"/>
              </w:rPr>
              <w:t>2.</w:t>
            </w:r>
            <w:r w:rsidRPr="00134AA0">
              <w:rPr>
                <w:b/>
                <w:bCs/>
                <w:color w:val="000000"/>
                <w:sz w:val="14"/>
                <w:szCs w:val="14"/>
                <w:lang w:eastAsia="es-CO"/>
              </w:rPr>
              <w:t xml:space="preserve">    </w:t>
            </w:r>
            <w:r w:rsidRPr="00134AA0">
              <w:rPr>
                <w:rFonts w:ascii="Arial" w:hAnsi="Arial" w:cs="Arial"/>
                <w:b/>
                <w:bCs/>
                <w:color w:val="000000"/>
                <w:sz w:val="22"/>
                <w:szCs w:val="22"/>
                <w:lang w:eastAsia="es-CO"/>
              </w:rPr>
              <w:t>PROGRAMA:</w:t>
            </w:r>
            <w:r w:rsidRPr="00134AA0">
              <w:rPr>
                <w:rFonts w:ascii="Arial" w:hAnsi="Arial" w:cs="Arial"/>
                <w:color w:val="000000"/>
                <w:sz w:val="22"/>
                <w:szCs w:val="22"/>
                <w:lang w:eastAsia="es-CO"/>
              </w:rPr>
              <w:t xml:space="preserve"> MAS SALUD, CON CALIDAD Y EFICIENCIA PARA LA GENTE</w:t>
            </w: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r w:rsidRPr="00134AA0">
              <w:rPr>
                <w:rFonts w:ascii="Arial" w:hAnsi="Arial" w:cs="Arial"/>
                <w:b/>
                <w:bCs/>
                <w:color w:val="000000"/>
                <w:sz w:val="22"/>
                <w:szCs w:val="22"/>
                <w:lang w:eastAsia="es-CO"/>
              </w:rPr>
              <w:t>3.</w:t>
            </w:r>
            <w:r w:rsidRPr="00134AA0">
              <w:rPr>
                <w:b/>
                <w:bCs/>
                <w:color w:val="000000"/>
                <w:sz w:val="14"/>
                <w:szCs w:val="14"/>
                <w:lang w:eastAsia="es-CO"/>
              </w:rPr>
              <w:t xml:space="preserve">    </w:t>
            </w:r>
            <w:r w:rsidRPr="00134AA0">
              <w:rPr>
                <w:rFonts w:ascii="Arial" w:hAnsi="Arial" w:cs="Arial"/>
                <w:b/>
                <w:bCs/>
                <w:color w:val="000000"/>
                <w:sz w:val="22"/>
                <w:szCs w:val="22"/>
                <w:lang w:eastAsia="es-CO"/>
              </w:rPr>
              <w:t>SECTOR:</w:t>
            </w:r>
            <w:r w:rsidRPr="00134AA0">
              <w:rPr>
                <w:rFonts w:ascii="Arial" w:hAnsi="Arial" w:cs="Arial"/>
                <w:color w:val="000000"/>
                <w:sz w:val="22"/>
                <w:szCs w:val="22"/>
                <w:lang w:eastAsia="es-CO"/>
              </w:rPr>
              <w:t xml:space="preserve"> SALUD Y PROTECCION SOCIAL</w:t>
            </w: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1155"/>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r w:rsidRPr="00134AA0">
              <w:rPr>
                <w:rFonts w:ascii="Arial" w:hAnsi="Arial" w:cs="Arial"/>
                <w:b/>
                <w:bCs/>
                <w:color w:val="000000"/>
                <w:sz w:val="22"/>
                <w:szCs w:val="22"/>
                <w:lang w:eastAsia="es-CO"/>
              </w:rPr>
              <w:t>4.</w:t>
            </w:r>
            <w:r w:rsidRPr="00134AA0">
              <w:rPr>
                <w:b/>
                <w:bCs/>
                <w:color w:val="000000"/>
                <w:sz w:val="14"/>
                <w:szCs w:val="14"/>
                <w:lang w:eastAsia="es-CO"/>
              </w:rPr>
              <w:t xml:space="preserve">    </w:t>
            </w:r>
            <w:r w:rsidRPr="00134AA0">
              <w:rPr>
                <w:rFonts w:ascii="Arial" w:hAnsi="Arial" w:cs="Arial"/>
                <w:b/>
                <w:bCs/>
                <w:color w:val="000000"/>
                <w:sz w:val="22"/>
                <w:szCs w:val="22"/>
                <w:lang w:eastAsia="es-CO"/>
              </w:rPr>
              <w:t>PROYECTO:</w:t>
            </w:r>
            <w:r w:rsidRPr="00134AA0">
              <w:rPr>
                <w:rFonts w:ascii="Arial" w:hAnsi="Arial" w:cs="Arial"/>
                <w:color w:val="000000"/>
                <w:sz w:val="22"/>
                <w:szCs w:val="22"/>
                <w:lang w:eastAsia="es-CO"/>
              </w:rPr>
              <w:t xml:space="preserve"> 2020660010054 FORTALECIMIENTO DEL CONTROL DE ENFERMEDADES CRÓNICAS, NO TRANSMISIBLES Y DEGENERATIVAS, CÁNCER DE INTERÉS EPIDEMIOLÓGICO EN EL PEREIRA</w:t>
            </w: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r w:rsidRPr="00134AA0">
              <w:rPr>
                <w:rFonts w:ascii="Arial" w:hAnsi="Arial" w:cs="Arial"/>
                <w:b/>
                <w:bCs/>
                <w:color w:val="000000"/>
                <w:sz w:val="22"/>
                <w:szCs w:val="22"/>
                <w:lang w:eastAsia="es-CO"/>
              </w:rPr>
              <w:t>5.</w:t>
            </w:r>
            <w:r w:rsidRPr="00134AA0">
              <w:rPr>
                <w:b/>
                <w:bCs/>
                <w:color w:val="000000"/>
                <w:sz w:val="14"/>
                <w:szCs w:val="14"/>
                <w:lang w:eastAsia="es-CO"/>
              </w:rPr>
              <w:t xml:space="preserve">    </w:t>
            </w:r>
            <w:r w:rsidRPr="00134AA0">
              <w:rPr>
                <w:rFonts w:ascii="Arial" w:hAnsi="Arial" w:cs="Arial"/>
                <w:color w:val="000000"/>
                <w:sz w:val="22"/>
                <w:szCs w:val="22"/>
                <w:lang w:eastAsia="es-CO"/>
              </w:rPr>
              <w:t>C</w:t>
            </w:r>
            <w:r w:rsidRPr="00134AA0">
              <w:rPr>
                <w:rFonts w:ascii="Arial" w:hAnsi="Arial" w:cs="Arial"/>
                <w:b/>
                <w:bCs/>
                <w:color w:val="000000"/>
                <w:sz w:val="22"/>
                <w:szCs w:val="22"/>
                <w:lang w:eastAsia="es-CO"/>
              </w:rPr>
              <w:t>OMPONENTE:</w:t>
            </w:r>
            <w:r w:rsidRPr="00134AA0">
              <w:rPr>
                <w:rFonts w:ascii="Arial" w:hAnsi="Arial" w:cs="Arial"/>
                <w:color w:val="000000"/>
                <w:sz w:val="22"/>
                <w:szCs w:val="22"/>
                <w:lang w:eastAsia="es-CO"/>
              </w:rPr>
              <w:t xml:space="preserve"> </w:t>
            </w:r>
            <w:r>
              <w:rPr>
                <w:rFonts w:ascii="Arial" w:hAnsi="Arial" w:cs="Arial"/>
                <w:color w:val="000000"/>
                <w:sz w:val="22"/>
                <w:szCs w:val="22"/>
                <w:lang w:eastAsia="es-CO"/>
              </w:rPr>
              <w:t>ADMINISTRACION</w:t>
            </w: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585"/>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r w:rsidRPr="00134AA0">
              <w:rPr>
                <w:rFonts w:ascii="Arial" w:hAnsi="Arial" w:cs="Arial"/>
                <w:b/>
                <w:bCs/>
                <w:color w:val="000000"/>
                <w:sz w:val="22"/>
                <w:szCs w:val="22"/>
                <w:lang w:eastAsia="es-CO"/>
              </w:rPr>
              <w:t>6.</w:t>
            </w:r>
            <w:r w:rsidRPr="00134AA0">
              <w:rPr>
                <w:b/>
                <w:bCs/>
                <w:color w:val="000000"/>
                <w:sz w:val="14"/>
                <w:szCs w:val="14"/>
                <w:lang w:eastAsia="es-CO"/>
              </w:rPr>
              <w:t xml:space="preserve">    </w:t>
            </w:r>
            <w:r w:rsidRPr="00134AA0">
              <w:rPr>
                <w:rFonts w:ascii="Arial" w:hAnsi="Arial" w:cs="Arial"/>
                <w:b/>
                <w:bCs/>
                <w:color w:val="000000"/>
                <w:sz w:val="22"/>
                <w:szCs w:val="22"/>
                <w:lang w:eastAsia="es-CO"/>
              </w:rPr>
              <w:t>ACTIVIDAD:</w:t>
            </w:r>
            <w:r w:rsidRPr="00134AA0">
              <w:rPr>
                <w:rFonts w:ascii="Arial" w:hAnsi="Arial" w:cs="Arial"/>
                <w:color w:val="000000"/>
                <w:sz w:val="22"/>
                <w:szCs w:val="22"/>
                <w:lang w:eastAsia="es-CO"/>
              </w:rPr>
              <w:t xml:space="preserve"> </w:t>
            </w:r>
            <w:r>
              <w:t>GESTIÓN INTEGRAL Y APOYO A LAS ACTIVIDADES DEL PROYECTO</w:t>
            </w: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Default="00134AA0" w:rsidP="00134AA0">
            <w:pPr>
              <w:suppressAutoHyphens w:val="0"/>
              <w:jc w:val="both"/>
              <w:rPr>
                <w:rFonts w:ascii="Arial" w:hAnsi="Arial" w:cs="Arial"/>
                <w:b/>
                <w:bCs/>
                <w:color w:val="000000"/>
                <w:sz w:val="22"/>
                <w:szCs w:val="22"/>
                <w:lang w:eastAsia="es-CO"/>
              </w:rPr>
            </w:pPr>
          </w:p>
          <w:p w:rsidR="00134AA0" w:rsidRDefault="00134AA0" w:rsidP="00134AA0">
            <w:pPr>
              <w:suppressAutoHyphens w:val="0"/>
              <w:jc w:val="both"/>
              <w:rPr>
                <w:rFonts w:ascii="Arial" w:hAnsi="Arial" w:cs="Arial"/>
                <w:b/>
                <w:bCs/>
                <w:color w:val="000000"/>
                <w:sz w:val="22"/>
                <w:szCs w:val="22"/>
                <w:lang w:eastAsia="es-CO"/>
              </w:rPr>
            </w:pPr>
          </w:p>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ind w:firstLineChars="500" w:firstLine="1000"/>
              <w:rPr>
                <w:lang w:eastAsia="es-CO"/>
              </w:rPr>
            </w:pPr>
          </w:p>
        </w:tc>
      </w:tr>
      <w:tr w:rsidR="00134AA0" w:rsidRPr="00134AA0" w:rsidTr="001E263E">
        <w:trPr>
          <w:trHeight w:val="3150"/>
        </w:trPr>
        <w:tc>
          <w:tcPr>
            <w:tcW w:w="8838" w:type="dxa"/>
            <w:tcBorders>
              <w:top w:val="nil"/>
              <w:left w:val="nil"/>
              <w:bottom w:val="nil"/>
              <w:right w:val="nil"/>
            </w:tcBorders>
            <w:shd w:val="clear" w:color="auto" w:fill="auto"/>
            <w:hideMark/>
          </w:tcPr>
          <w:p w:rsidR="00134AA0" w:rsidRDefault="00134AA0" w:rsidP="00134AA0">
            <w:r w:rsidRPr="00230DCF">
              <w:rPr>
                <w:rFonts w:ascii="Arial" w:hAnsi="Arial" w:cs="Arial"/>
                <w:b/>
                <w:sz w:val="22"/>
                <w:szCs w:val="22"/>
              </w:rPr>
              <w:t xml:space="preserve">META: </w:t>
            </w:r>
            <w:r w:rsidRPr="00230DCF">
              <w:rPr>
                <w:rFonts w:ascii="Arial" w:hAnsi="Arial" w:cs="Arial"/>
                <w:sz w:val="22"/>
                <w:szCs w:val="22"/>
              </w:rPr>
              <w:t xml:space="preserve">Contribuir con el servicio de vigilancia y control sanitario de los factores de riesgo para la salud, en los establecimientos y espacios que pueden generar riesgos para la población, apoyar en la realización de mínimo 2  visitas al año de asistencia técnica al 100% de Centros de Protección Social Para el adulto Mayor  y centros vida  frente a la atención integral del adulto mayor y la autorización de funcionamiento de los mismos, así como participar en la realización de  actividades de promoción y prevención para mejorar la calidad de vida del adulto mayor en el 100% de los Centros de Protección Social Para el Adulto Mayor  y Centros Vida  y grupos de adulto mayor. Promover las visitas a empresas priorizadas para promoción tamizaje de próstata en población mayor de 40 años laboralmente activa, capacitar anualmente a los actores del </w:t>
            </w:r>
            <w:proofErr w:type="gramStart"/>
            <w:r w:rsidRPr="00230DCF">
              <w:rPr>
                <w:rFonts w:ascii="Arial" w:hAnsi="Arial" w:cs="Arial"/>
                <w:sz w:val="22"/>
                <w:szCs w:val="22"/>
              </w:rPr>
              <w:t>sistema  e</w:t>
            </w:r>
            <w:proofErr w:type="gramEnd"/>
            <w:r w:rsidRPr="00230DCF">
              <w:rPr>
                <w:rFonts w:ascii="Arial" w:hAnsi="Arial" w:cs="Arial"/>
                <w:sz w:val="22"/>
                <w:szCs w:val="22"/>
              </w:rPr>
              <w:t xml:space="preserve"> instituciones sobre enfermedades crónicas no transmisibles (DETECCIÒN Y MANEJO DEL CANCER DE  PROSTATA)</w:t>
            </w:r>
          </w:p>
        </w:tc>
      </w:tr>
      <w:tr w:rsidR="00134AA0" w:rsidRPr="00134AA0" w:rsidTr="00134AA0">
        <w:trPr>
          <w:trHeight w:val="300"/>
        </w:trPr>
        <w:tc>
          <w:tcPr>
            <w:tcW w:w="8838" w:type="dxa"/>
            <w:tcBorders>
              <w:top w:val="nil"/>
              <w:left w:val="nil"/>
              <w:bottom w:val="nil"/>
              <w:right w:val="nil"/>
            </w:tcBorders>
            <w:shd w:val="clear" w:color="auto" w:fill="auto"/>
            <w:noWrap/>
            <w:vAlign w:val="bottom"/>
            <w:hideMark/>
          </w:tcPr>
          <w:p w:rsidR="00134AA0" w:rsidRPr="00134AA0" w:rsidRDefault="00134AA0" w:rsidP="00134AA0">
            <w:pPr>
              <w:suppressAutoHyphens w:val="0"/>
              <w:rPr>
                <w:rFonts w:ascii="Arial" w:hAnsi="Arial" w:cs="Arial"/>
                <w:b/>
                <w:bCs/>
                <w:color w:val="000000"/>
                <w:sz w:val="22"/>
                <w:szCs w:val="22"/>
                <w:lang w:eastAsia="es-CO"/>
              </w:rPr>
            </w:pPr>
          </w:p>
        </w:tc>
      </w:tr>
      <w:tr w:rsidR="00134AA0" w:rsidRPr="00134AA0" w:rsidTr="00134AA0">
        <w:trPr>
          <w:trHeight w:val="600"/>
        </w:trPr>
        <w:tc>
          <w:tcPr>
            <w:tcW w:w="8838" w:type="dxa"/>
            <w:tcBorders>
              <w:top w:val="nil"/>
              <w:left w:val="nil"/>
              <w:bottom w:val="nil"/>
              <w:right w:val="nil"/>
            </w:tcBorders>
            <w:shd w:val="clear" w:color="auto" w:fill="auto"/>
            <w:noWrap/>
            <w:vAlign w:val="center"/>
            <w:hideMark/>
          </w:tcPr>
          <w:p w:rsidR="00134AA0" w:rsidRDefault="00134AA0" w:rsidP="00134AA0">
            <w:pPr>
              <w:suppressAutoHyphens w:val="0"/>
              <w:jc w:val="both"/>
              <w:rPr>
                <w:rFonts w:ascii="Arial" w:hAnsi="Arial" w:cs="Arial"/>
                <w:b/>
                <w:bCs/>
                <w:color w:val="000000"/>
                <w:sz w:val="22"/>
                <w:szCs w:val="22"/>
                <w:lang w:eastAsia="es-CO"/>
              </w:rPr>
            </w:pPr>
          </w:p>
          <w:p w:rsidR="00134AA0" w:rsidRDefault="00134AA0" w:rsidP="00134AA0">
            <w:pPr>
              <w:suppressAutoHyphens w:val="0"/>
              <w:jc w:val="both"/>
              <w:rPr>
                <w:rFonts w:ascii="Arial" w:hAnsi="Arial" w:cs="Arial"/>
                <w:b/>
                <w:bCs/>
                <w:color w:val="000000"/>
                <w:sz w:val="22"/>
                <w:szCs w:val="22"/>
                <w:lang w:eastAsia="es-CO"/>
              </w:rPr>
            </w:pPr>
          </w:p>
          <w:p w:rsidR="00134AA0" w:rsidRDefault="00134AA0" w:rsidP="00134AA0">
            <w:pPr>
              <w:suppressAutoHyphens w:val="0"/>
              <w:jc w:val="both"/>
              <w:rPr>
                <w:rFonts w:ascii="Arial" w:hAnsi="Arial" w:cs="Arial"/>
                <w:b/>
                <w:bCs/>
                <w:color w:val="000000"/>
                <w:sz w:val="22"/>
                <w:szCs w:val="22"/>
                <w:lang w:eastAsia="es-CO"/>
              </w:rPr>
            </w:pPr>
          </w:p>
          <w:p w:rsidR="00134AA0" w:rsidRDefault="00134AA0" w:rsidP="00134AA0">
            <w:pPr>
              <w:suppressAutoHyphens w:val="0"/>
              <w:jc w:val="both"/>
              <w:rPr>
                <w:rFonts w:ascii="Arial" w:hAnsi="Arial" w:cs="Arial"/>
                <w:b/>
                <w:bCs/>
                <w:color w:val="000000"/>
                <w:sz w:val="22"/>
                <w:szCs w:val="22"/>
                <w:lang w:eastAsia="es-CO"/>
              </w:rPr>
            </w:pPr>
          </w:p>
          <w:p w:rsidR="00134AA0" w:rsidRPr="00134AA0" w:rsidRDefault="00134AA0" w:rsidP="00134AA0">
            <w:pPr>
              <w:suppressAutoHyphens w:val="0"/>
              <w:jc w:val="both"/>
              <w:rPr>
                <w:rFonts w:ascii="Arial" w:hAnsi="Arial" w:cs="Arial"/>
                <w:bCs/>
                <w:color w:val="000000"/>
                <w:sz w:val="22"/>
                <w:szCs w:val="22"/>
                <w:lang w:eastAsia="es-CO"/>
              </w:rPr>
            </w:pPr>
            <w:r>
              <w:rPr>
                <w:rFonts w:ascii="Arial" w:hAnsi="Arial" w:cs="Arial"/>
                <w:b/>
                <w:bCs/>
                <w:color w:val="000000"/>
                <w:sz w:val="22"/>
                <w:szCs w:val="22"/>
                <w:lang w:eastAsia="es-CO"/>
              </w:rPr>
              <w:t xml:space="preserve">PLAZO: </w:t>
            </w:r>
            <w:r>
              <w:rPr>
                <w:rFonts w:ascii="Arial" w:hAnsi="Arial" w:cs="Arial"/>
                <w:bCs/>
                <w:color w:val="000000"/>
                <w:sz w:val="22"/>
                <w:szCs w:val="22"/>
                <w:lang w:eastAsia="es-CO"/>
              </w:rPr>
              <w:t>NOVENTA Y TRES (93) DIAS</w:t>
            </w:r>
            <w:r w:rsidR="00DB473F">
              <w:rPr>
                <w:rFonts w:ascii="Arial" w:hAnsi="Arial" w:cs="Arial"/>
                <w:bCs/>
                <w:color w:val="000000"/>
                <w:sz w:val="22"/>
                <w:szCs w:val="22"/>
                <w:lang w:eastAsia="es-CO"/>
              </w:rPr>
              <w:t xml:space="preserve">, </w:t>
            </w:r>
            <w:bookmarkStart w:id="0" w:name="_Hlk51783591"/>
            <w:bookmarkStart w:id="1" w:name="_Hlk50041259"/>
            <w:r w:rsidR="00DB473F"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DB473F" w:rsidRPr="00C866AA">
              <w:rPr>
                <w:rFonts w:ascii="Arial" w:hAnsi="Arial" w:cs="Arial"/>
                <w:color w:val="000000"/>
                <w:lang w:eastAsia="es-CO"/>
              </w:rPr>
              <w:t>.</w:t>
            </w:r>
            <w:bookmarkEnd w:id="1"/>
          </w:p>
          <w:p w:rsidR="00134AA0" w:rsidRDefault="00134AA0" w:rsidP="00134AA0">
            <w:pPr>
              <w:suppressAutoHyphens w:val="0"/>
              <w:jc w:val="both"/>
              <w:rPr>
                <w:rFonts w:ascii="Arial" w:hAnsi="Arial" w:cs="Arial"/>
                <w:b/>
                <w:bCs/>
                <w:color w:val="000000"/>
                <w:sz w:val="22"/>
                <w:szCs w:val="22"/>
                <w:lang w:eastAsia="es-CO"/>
              </w:rPr>
            </w:pPr>
          </w:p>
          <w:p w:rsidR="00134AA0" w:rsidRDefault="00134AA0" w:rsidP="00134AA0">
            <w:pPr>
              <w:suppressAutoHyphens w:val="0"/>
              <w:jc w:val="both"/>
              <w:rPr>
                <w:rFonts w:ascii="Arial" w:hAnsi="Arial" w:cs="Arial"/>
                <w:b/>
                <w:bCs/>
                <w:color w:val="000000"/>
                <w:sz w:val="22"/>
                <w:szCs w:val="22"/>
                <w:lang w:eastAsia="es-CO"/>
              </w:rPr>
            </w:pPr>
          </w:p>
          <w:p w:rsidR="00134AA0" w:rsidRDefault="00134AA0" w:rsidP="00134AA0">
            <w:pPr>
              <w:suppressAutoHyphens w:val="0"/>
              <w:jc w:val="both"/>
              <w:rPr>
                <w:rFonts w:ascii="Arial" w:hAnsi="Arial" w:cs="Arial"/>
                <w:b/>
                <w:bCs/>
                <w:color w:val="000000"/>
                <w:sz w:val="22"/>
                <w:szCs w:val="22"/>
                <w:lang w:eastAsia="es-CO"/>
              </w:rPr>
            </w:pPr>
          </w:p>
          <w:p w:rsidR="00134AA0" w:rsidRDefault="00134AA0" w:rsidP="00134AA0">
            <w:pPr>
              <w:suppressAutoHyphens w:val="0"/>
              <w:jc w:val="both"/>
              <w:rPr>
                <w:rFonts w:ascii="Arial" w:hAnsi="Arial" w:cs="Arial"/>
                <w:color w:val="000000"/>
                <w:sz w:val="22"/>
                <w:szCs w:val="22"/>
                <w:lang w:eastAsia="es-CO"/>
              </w:rPr>
            </w:pPr>
            <w:r w:rsidRPr="00134AA0">
              <w:rPr>
                <w:rFonts w:ascii="Arial" w:hAnsi="Arial" w:cs="Arial"/>
                <w:b/>
                <w:bCs/>
                <w:color w:val="000000"/>
                <w:sz w:val="22"/>
                <w:szCs w:val="22"/>
                <w:lang w:eastAsia="es-CO"/>
              </w:rPr>
              <w:t>VALOR:</w:t>
            </w:r>
            <w:r w:rsidRPr="00134AA0">
              <w:rPr>
                <w:rFonts w:ascii="Arial" w:hAnsi="Arial" w:cs="Arial"/>
                <w:color w:val="000000"/>
                <w:sz w:val="22"/>
                <w:szCs w:val="22"/>
                <w:lang w:eastAsia="es-CO"/>
              </w:rPr>
              <w:t xml:space="preserve"> </w:t>
            </w:r>
          </w:p>
          <w:p w:rsidR="00134AA0" w:rsidRDefault="00134AA0" w:rsidP="00134AA0">
            <w:pPr>
              <w:suppressAutoHyphens w:val="0"/>
              <w:jc w:val="both"/>
              <w:rPr>
                <w:rFonts w:ascii="Arial" w:hAnsi="Arial" w:cs="Arial"/>
                <w:b/>
                <w:bCs/>
                <w:color w:val="000000"/>
                <w:sz w:val="22"/>
                <w:szCs w:val="22"/>
                <w:lang w:eastAsia="es-CO"/>
              </w:rPr>
            </w:pPr>
          </w:p>
          <w:p w:rsidR="00134AA0" w:rsidRPr="00134AA0" w:rsidRDefault="00134AA0" w:rsidP="00134AA0">
            <w:pPr>
              <w:suppressAutoHyphens w:val="0"/>
              <w:jc w:val="both"/>
              <w:rPr>
                <w:rFonts w:ascii="Arial" w:hAnsi="Arial" w:cs="Arial"/>
                <w:b/>
                <w:bCs/>
                <w:color w:val="000000"/>
                <w:sz w:val="22"/>
                <w:szCs w:val="22"/>
                <w:lang w:eastAsia="es-CO"/>
              </w:rPr>
            </w:pPr>
            <w:bookmarkStart w:id="2" w:name="_Hlk51940465"/>
            <w:r>
              <w:rPr>
                <w:rFonts w:ascii="Arial" w:hAnsi="Arial" w:cs="Arial"/>
                <w:b/>
                <w:bCs/>
                <w:color w:val="000000"/>
                <w:sz w:val="22"/>
                <w:szCs w:val="22"/>
                <w:lang w:eastAsia="es-CO"/>
              </w:rPr>
              <w:t xml:space="preserve">DIEZ </w:t>
            </w:r>
            <w:r w:rsidRPr="00134AA0">
              <w:rPr>
                <w:rFonts w:ascii="Arial" w:hAnsi="Arial" w:cs="Arial"/>
                <w:b/>
                <w:bCs/>
                <w:color w:val="000000"/>
                <w:sz w:val="22"/>
                <w:szCs w:val="22"/>
                <w:lang w:eastAsia="es-CO"/>
              </w:rPr>
              <w:t xml:space="preserve">MILLONES </w:t>
            </w:r>
            <w:r>
              <w:rPr>
                <w:rFonts w:ascii="Arial" w:hAnsi="Arial" w:cs="Arial"/>
                <w:b/>
                <w:bCs/>
                <w:color w:val="000000"/>
                <w:sz w:val="22"/>
                <w:szCs w:val="22"/>
                <w:lang w:eastAsia="es-CO"/>
              </w:rPr>
              <w:t>DOS</w:t>
            </w:r>
            <w:r w:rsidRPr="00134AA0">
              <w:rPr>
                <w:rFonts w:ascii="Arial" w:hAnsi="Arial" w:cs="Arial"/>
                <w:b/>
                <w:bCs/>
                <w:color w:val="000000"/>
                <w:sz w:val="22"/>
                <w:szCs w:val="22"/>
                <w:lang w:eastAsia="es-CO"/>
              </w:rPr>
              <w:t xml:space="preserve">CIENTOS </w:t>
            </w:r>
            <w:r>
              <w:rPr>
                <w:rFonts w:ascii="Arial" w:hAnsi="Arial" w:cs="Arial"/>
                <w:b/>
                <w:bCs/>
                <w:color w:val="000000"/>
                <w:sz w:val="22"/>
                <w:szCs w:val="22"/>
                <w:lang w:eastAsia="es-CO"/>
              </w:rPr>
              <w:t>VEINTISEIS MIL NOVECIENTOS</w:t>
            </w:r>
            <w:r w:rsidRPr="00134AA0">
              <w:rPr>
                <w:rFonts w:ascii="Arial" w:hAnsi="Arial" w:cs="Arial"/>
                <w:b/>
                <w:bCs/>
                <w:color w:val="000000"/>
                <w:sz w:val="22"/>
                <w:szCs w:val="22"/>
                <w:lang w:eastAsia="es-CO"/>
              </w:rPr>
              <w:t xml:space="preserve"> PESOS MCTE ($ </w:t>
            </w:r>
            <w:r>
              <w:rPr>
                <w:rFonts w:ascii="Arial" w:hAnsi="Arial" w:cs="Arial"/>
                <w:b/>
                <w:bCs/>
                <w:color w:val="000000"/>
                <w:sz w:val="22"/>
                <w:szCs w:val="22"/>
                <w:lang w:eastAsia="es-CO"/>
              </w:rPr>
              <w:t>10.226.900</w:t>
            </w:r>
            <w:r w:rsidRPr="00134AA0">
              <w:rPr>
                <w:rFonts w:ascii="Arial" w:hAnsi="Arial" w:cs="Arial"/>
                <w:b/>
                <w:bCs/>
                <w:color w:val="000000"/>
                <w:sz w:val="22"/>
                <w:szCs w:val="22"/>
                <w:lang w:eastAsia="es-CO"/>
              </w:rPr>
              <w:t>,00)</w:t>
            </w:r>
            <w:bookmarkEnd w:id="2"/>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1440"/>
        </w:trPr>
        <w:tc>
          <w:tcPr>
            <w:tcW w:w="8838" w:type="dxa"/>
            <w:tcBorders>
              <w:top w:val="nil"/>
              <w:left w:val="nil"/>
              <w:bottom w:val="nil"/>
              <w:right w:val="nil"/>
            </w:tcBorders>
            <w:shd w:val="clear" w:color="auto" w:fill="auto"/>
            <w:noWrap/>
            <w:vAlign w:val="center"/>
          </w:tcPr>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b/>
                <w:bCs/>
                <w:color w:val="000000"/>
                <w:sz w:val="22"/>
                <w:szCs w:val="22"/>
                <w:lang w:eastAsia="es-CO"/>
              </w:rPr>
            </w:pPr>
          </w:p>
        </w:tc>
      </w:tr>
      <w:tr w:rsidR="00134AA0" w:rsidRPr="00134AA0" w:rsidTr="00134AA0">
        <w:trPr>
          <w:trHeight w:val="12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color w:val="000000"/>
                <w:sz w:val="22"/>
                <w:szCs w:val="22"/>
                <w:lang w:eastAsia="es-CO"/>
              </w:rPr>
            </w:pPr>
            <w:bookmarkStart w:id="3" w:name="_Hlk51940482"/>
            <w:r w:rsidRPr="00134AA0">
              <w:rPr>
                <w:rFonts w:ascii="Arial" w:hAnsi="Arial" w:cs="Arial"/>
                <w:color w:val="000000"/>
                <w:sz w:val="22"/>
                <w:szCs w:val="22"/>
                <w:lang w:eastAsia="es-CO"/>
              </w:rPr>
              <w:t xml:space="preserve">mediante Cuatro (4) actas, </w:t>
            </w:r>
            <w:proofErr w:type="spellStart"/>
            <w:r w:rsidRPr="00134AA0">
              <w:rPr>
                <w:rFonts w:ascii="Arial" w:hAnsi="Arial" w:cs="Arial"/>
                <w:color w:val="000000"/>
                <w:sz w:val="22"/>
                <w:szCs w:val="22"/>
                <w:lang w:eastAsia="es-CO"/>
              </w:rPr>
              <w:t>asi</w:t>
            </w:r>
            <w:proofErr w:type="spellEnd"/>
            <w:r w:rsidRPr="00134AA0">
              <w:rPr>
                <w:rFonts w:ascii="Arial" w:hAnsi="Arial" w:cs="Arial"/>
                <w:color w:val="000000"/>
                <w:sz w:val="22"/>
                <w:szCs w:val="22"/>
                <w:lang w:eastAsia="es-CO"/>
              </w:rPr>
              <w:t xml:space="preserve">: tres actas cada una a razón de </w:t>
            </w:r>
            <w:r w:rsidRPr="00134AA0">
              <w:rPr>
                <w:rFonts w:ascii="Arial" w:hAnsi="Arial" w:cs="Arial"/>
                <w:b/>
                <w:color w:val="000000"/>
                <w:sz w:val="22"/>
                <w:szCs w:val="22"/>
                <w:lang w:eastAsia="es-CO"/>
              </w:rPr>
              <w:t>TRES MILLONES DOSCIENTOS NOVENTA Y NUEVE MIL P</w:t>
            </w:r>
            <w:r w:rsidRPr="00134AA0">
              <w:rPr>
                <w:rFonts w:ascii="Arial" w:hAnsi="Arial" w:cs="Arial"/>
                <w:b/>
                <w:bCs/>
                <w:color w:val="000000"/>
                <w:sz w:val="22"/>
                <w:szCs w:val="22"/>
                <w:lang w:eastAsia="es-CO"/>
              </w:rPr>
              <w:t>ESOS MCTE ($</w:t>
            </w:r>
            <w:r>
              <w:rPr>
                <w:rFonts w:ascii="Arial" w:hAnsi="Arial" w:cs="Arial"/>
                <w:b/>
                <w:bCs/>
                <w:color w:val="000000"/>
                <w:sz w:val="22"/>
                <w:szCs w:val="22"/>
                <w:lang w:eastAsia="es-CO"/>
              </w:rPr>
              <w:t>3.299</w:t>
            </w:r>
            <w:r w:rsidRPr="00134AA0">
              <w:rPr>
                <w:rFonts w:ascii="Arial" w:hAnsi="Arial" w:cs="Arial"/>
                <w:b/>
                <w:bCs/>
                <w:color w:val="000000"/>
                <w:sz w:val="22"/>
                <w:szCs w:val="22"/>
                <w:lang w:eastAsia="es-CO"/>
              </w:rPr>
              <w:t xml:space="preserve">.000,00) </w:t>
            </w:r>
            <w:r w:rsidRPr="00134AA0">
              <w:rPr>
                <w:rFonts w:ascii="Arial" w:hAnsi="Arial" w:cs="Arial"/>
                <w:color w:val="000000"/>
                <w:sz w:val="22"/>
                <w:szCs w:val="22"/>
                <w:lang w:eastAsia="es-CO"/>
              </w:rPr>
              <w:t>y un acta final por valo</w:t>
            </w:r>
            <w:r w:rsidRPr="00134AA0">
              <w:rPr>
                <w:rFonts w:ascii="Arial" w:hAnsi="Arial" w:cs="Arial"/>
                <w:b/>
                <w:bCs/>
                <w:color w:val="000000"/>
                <w:sz w:val="22"/>
                <w:szCs w:val="22"/>
                <w:lang w:eastAsia="es-CO"/>
              </w:rPr>
              <w:t xml:space="preserve">r </w:t>
            </w:r>
            <w:r>
              <w:rPr>
                <w:rFonts w:ascii="Arial" w:hAnsi="Arial" w:cs="Arial"/>
                <w:b/>
                <w:bCs/>
                <w:color w:val="000000"/>
                <w:sz w:val="22"/>
                <w:szCs w:val="22"/>
                <w:lang w:eastAsia="es-CO"/>
              </w:rPr>
              <w:t>TRESCI</w:t>
            </w:r>
            <w:r w:rsidRPr="00134AA0">
              <w:rPr>
                <w:rFonts w:ascii="Arial" w:hAnsi="Arial" w:cs="Arial"/>
                <w:b/>
                <w:bCs/>
                <w:color w:val="000000"/>
                <w:sz w:val="22"/>
                <w:szCs w:val="22"/>
                <w:lang w:eastAsia="es-CO"/>
              </w:rPr>
              <w:t xml:space="preserve">ENTOS </w:t>
            </w:r>
            <w:r>
              <w:rPr>
                <w:rFonts w:ascii="Arial" w:hAnsi="Arial" w:cs="Arial"/>
                <w:b/>
                <w:bCs/>
                <w:color w:val="000000"/>
                <w:sz w:val="22"/>
                <w:szCs w:val="22"/>
                <w:lang w:eastAsia="es-CO"/>
              </w:rPr>
              <w:t xml:space="preserve">VEINTINUEVE MIL NOVECIENTOS </w:t>
            </w:r>
            <w:r w:rsidRPr="00134AA0">
              <w:rPr>
                <w:rFonts w:ascii="Arial" w:hAnsi="Arial" w:cs="Arial"/>
                <w:b/>
                <w:bCs/>
                <w:color w:val="000000"/>
                <w:sz w:val="22"/>
                <w:szCs w:val="22"/>
                <w:lang w:eastAsia="es-CO"/>
              </w:rPr>
              <w:t>PESOS MCTE ($</w:t>
            </w:r>
            <w:r>
              <w:rPr>
                <w:rFonts w:ascii="Arial" w:hAnsi="Arial" w:cs="Arial"/>
                <w:b/>
                <w:bCs/>
                <w:color w:val="000000"/>
                <w:sz w:val="22"/>
                <w:szCs w:val="22"/>
                <w:lang w:eastAsia="es-CO"/>
              </w:rPr>
              <w:t>329.9</w:t>
            </w:r>
            <w:r w:rsidRPr="00134AA0">
              <w:rPr>
                <w:rFonts w:ascii="Arial" w:hAnsi="Arial" w:cs="Arial"/>
                <w:b/>
                <w:bCs/>
                <w:color w:val="000000"/>
                <w:sz w:val="22"/>
                <w:szCs w:val="22"/>
                <w:lang w:eastAsia="es-CO"/>
              </w:rPr>
              <w:t>00,00)</w:t>
            </w:r>
            <w:bookmarkEnd w:id="3"/>
            <w:r w:rsidR="00DB473F">
              <w:rPr>
                <w:rFonts w:ascii="Arial" w:hAnsi="Arial" w:cs="Arial"/>
                <w:b/>
                <w:bCs/>
                <w:color w:val="000000"/>
                <w:sz w:val="22"/>
                <w:szCs w:val="22"/>
                <w:lang w:eastAsia="es-CO"/>
              </w:rPr>
              <w:t xml:space="preserve">, por mes vencido </w:t>
            </w: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color w:val="000000"/>
                <w:sz w:val="22"/>
                <w:szCs w:val="22"/>
                <w:lang w:eastAsia="es-CO"/>
              </w:rPr>
            </w:pP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color w:val="000000"/>
                <w:sz w:val="22"/>
                <w:szCs w:val="22"/>
                <w:lang w:eastAsia="es-CO"/>
              </w:rPr>
            </w:pPr>
          </w:p>
        </w:tc>
      </w:tr>
      <w:tr w:rsidR="00134AA0" w:rsidRPr="00134AA0" w:rsidTr="00134AA0">
        <w:trPr>
          <w:trHeight w:val="300"/>
        </w:trPr>
        <w:tc>
          <w:tcPr>
            <w:tcW w:w="8838" w:type="dxa"/>
            <w:tcBorders>
              <w:top w:val="nil"/>
              <w:left w:val="nil"/>
              <w:bottom w:val="nil"/>
              <w:right w:val="nil"/>
            </w:tcBorders>
            <w:shd w:val="clear" w:color="auto" w:fill="auto"/>
            <w:noWrap/>
            <w:vAlign w:val="center"/>
            <w:hideMark/>
          </w:tcPr>
          <w:p w:rsidR="00134AA0" w:rsidRPr="00134AA0" w:rsidRDefault="00134AA0" w:rsidP="00134AA0">
            <w:pPr>
              <w:suppressAutoHyphens w:val="0"/>
              <w:jc w:val="both"/>
              <w:rPr>
                <w:rFonts w:ascii="Arial" w:hAnsi="Arial" w:cs="Arial"/>
                <w:color w:val="000000"/>
                <w:sz w:val="22"/>
                <w:szCs w:val="22"/>
                <w:lang w:eastAsia="es-CO"/>
              </w:rPr>
            </w:pPr>
          </w:p>
        </w:tc>
      </w:tr>
      <w:tr w:rsidR="00134AA0" w:rsidRPr="00134AA0" w:rsidTr="00134AA0">
        <w:trPr>
          <w:trHeight w:val="600"/>
        </w:trPr>
        <w:tc>
          <w:tcPr>
            <w:tcW w:w="8838" w:type="dxa"/>
            <w:tcBorders>
              <w:top w:val="nil"/>
              <w:left w:val="nil"/>
              <w:bottom w:val="nil"/>
              <w:right w:val="nil"/>
            </w:tcBorders>
            <w:shd w:val="clear" w:color="auto" w:fill="auto"/>
            <w:vAlign w:val="bottom"/>
            <w:hideMark/>
          </w:tcPr>
          <w:p w:rsidR="00134AA0" w:rsidRPr="00134AA0" w:rsidRDefault="00134AA0" w:rsidP="00134AA0">
            <w:pPr>
              <w:suppressAutoHyphens w:val="0"/>
              <w:rPr>
                <w:rFonts w:ascii="Arial" w:hAnsi="Arial" w:cs="Arial"/>
                <w:b/>
                <w:bCs/>
                <w:color w:val="000000"/>
                <w:sz w:val="22"/>
                <w:szCs w:val="22"/>
                <w:lang w:eastAsia="es-CO"/>
              </w:rPr>
            </w:pPr>
            <w:r w:rsidRPr="00134AA0">
              <w:rPr>
                <w:rFonts w:ascii="Arial" w:hAnsi="Arial" w:cs="Arial"/>
                <w:b/>
                <w:bCs/>
                <w:color w:val="000000"/>
                <w:sz w:val="22"/>
                <w:szCs w:val="22"/>
                <w:lang w:eastAsia="es-CO"/>
              </w:rPr>
              <w:t>EXPERIENCIA:</w:t>
            </w:r>
            <w:r w:rsidRPr="00134AA0">
              <w:rPr>
                <w:rFonts w:ascii="Arial" w:hAnsi="Arial" w:cs="Arial"/>
                <w:color w:val="000000"/>
                <w:sz w:val="22"/>
                <w:szCs w:val="22"/>
                <w:lang w:eastAsia="es-CO"/>
              </w:rPr>
              <w:t xml:space="preserve"> mínima de dos (2) año en procesos de atención directa con población adulta en ámbitos comunitarios y/o institucional</w:t>
            </w:r>
          </w:p>
        </w:tc>
      </w:tr>
    </w:tbl>
    <w:p w:rsidR="00134AA0" w:rsidRDefault="00134AA0"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p w:rsidR="00FA3BAC" w:rsidRDefault="00FA3BAC" w:rsidP="00036F23">
      <w:pPr>
        <w:jc w:val="both"/>
        <w:rPr>
          <w:rFonts w:ascii="Arial" w:hAnsi="Arial" w:cs="Arial"/>
          <w:b/>
          <w:color w:val="000000"/>
          <w:sz w:val="22"/>
          <w:szCs w:val="22"/>
        </w:rPr>
      </w:pPr>
    </w:p>
    <w:p w:rsidR="00FA3BAC" w:rsidRDefault="00FA3BAC" w:rsidP="00036F23">
      <w:pPr>
        <w:jc w:val="both"/>
        <w:rPr>
          <w:rFonts w:ascii="Arial" w:hAnsi="Arial" w:cs="Arial"/>
          <w:b/>
          <w:color w:val="000000"/>
          <w:sz w:val="22"/>
          <w:szCs w:val="22"/>
        </w:rPr>
      </w:pPr>
    </w:p>
    <w:p w:rsidR="00FA3BAC" w:rsidRDefault="00FA3BAC" w:rsidP="00036F23">
      <w:pPr>
        <w:jc w:val="both"/>
        <w:rPr>
          <w:rFonts w:ascii="Arial" w:hAnsi="Arial" w:cs="Arial"/>
          <w:b/>
          <w:color w:val="000000"/>
          <w:sz w:val="22"/>
          <w:szCs w:val="22"/>
        </w:rPr>
      </w:pPr>
    </w:p>
    <w:p w:rsidR="00FA3BAC" w:rsidRDefault="00FA3BAC" w:rsidP="00036F23">
      <w:pPr>
        <w:jc w:val="both"/>
        <w:rPr>
          <w:rFonts w:ascii="Arial" w:hAnsi="Arial" w:cs="Arial"/>
          <w:b/>
          <w:color w:val="000000"/>
          <w:sz w:val="22"/>
          <w:szCs w:val="22"/>
        </w:rPr>
      </w:pPr>
    </w:p>
    <w:p w:rsidR="00FA3BAC" w:rsidRDefault="00FA3BAC" w:rsidP="00036F23">
      <w:pPr>
        <w:jc w:val="both"/>
        <w:rPr>
          <w:rFonts w:ascii="Arial" w:hAnsi="Arial" w:cs="Arial"/>
          <w:b/>
          <w:color w:val="000000"/>
          <w:sz w:val="22"/>
          <w:szCs w:val="22"/>
        </w:rPr>
      </w:pPr>
    </w:p>
    <w:p w:rsidR="00FA3BAC" w:rsidRDefault="00FA3BAC" w:rsidP="00036F23">
      <w:pPr>
        <w:jc w:val="both"/>
        <w:rPr>
          <w:rFonts w:ascii="Arial" w:hAnsi="Arial" w:cs="Arial"/>
          <w:b/>
          <w:color w:val="000000"/>
          <w:sz w:val="22"/>
          <w:szCs w:val="22"/>
        </w:rPr>
      </w:pPr>
    </w:p>
    <w:p w:rsidR="00134AA0" w:rsidRDefault="00134AA0" w:rsidP="00036F23">
      <w:pPr>
        <w:jc w:val="both"/>
        <w:rPr>
          <w:rFonts w:ascii="Arial" w:hAnsi="Arial" w:cs="Arial"/>
          <w:b/>
          <w:color w:val="000000"/>
          <w:sz w:val="22"/>
          <w:szCs w:val="22"/>
        </w:rPr>
      </w:pPr>
    </w:p>
    <w:p w:rsidR="00036F23" w:rsidRDefault="00036F23" w:rsidP="00036F23">
      <w:pPr>
        <w:jc w:val="both"/>
        <w:rPr>
          <w:rFonts w:ascii="Arial" w:hAnsi="Arial" w:cs="Arial"/>
          <w:b/>
          <w:color w:val="000000"/>
          <w:sz w:val="22"/>
          <w:szCs w:val="22"/>
        </w:rPr>
      </w:pPr>
      <w:r w:rsidRPr="00DF5C12">
        <w:rPr>
          <w:rFonts w:ascii="Arial" w:hAnsi="Arial" w:cs="Arial"/>
          <w:b/>
          <w:color w:val="000000"/>
          <w:sz w:val="22"/>
          <w:szCs w:val="22"/>
        </w:rPr>
        <w:t>OBJETO A CONTRATAR</w:t>
      </w:r>
    </w:p>
    <w:p w:rsidR="00134AA0" w:rsidRPr="00134AA0" w:rsidRDefault="00134AA0" w:rsidP="00036F23">
      <w:pPr>
        <w:jc w:val="both"/>
        <w:rPr>
          <w:rFonts w:ascii="Arial" w:hAnsi="Arial" w:cs="Arial"/>
          <w:b/>
          <w:color w:val="000000"/>
          <w:sz w:val="24"/>
          <w:szCs w:val="24"/>
        </w:rPr>
      </w:pPr>
    </w:p>
    <w:p w:rsidR="00134AA0" w:rsidRPr="00134AA0" w:rsidRDefault="00134AA0" w:rsidP="00036F23">
      <w:pPr>
        <w:jc w:val="both"/>
        <w:rPr>
          <w:rFonts w:ascii="Arial" w:hAnsi="Arial" w:cs="Arial"/>
          <w:b/>
          <w:color w:val="000000"/>
          <w:sz w:val="24"/>
          <w:szCs w:val="24"/>
        </w:rPr>
      </w:pPr>
      <w:bookmarkStart w:id="4" w:name="_Hlk51940386"/>
      <w:r w:rsidRPr="00134AA0">
        <w:rPr>
          <w:rFonts w:ascii="Arial" w:hAnsi="Arial" w:cs="Arial"/>
          <w:sz w:val="24"/>
          <w:szCs w:val="24"/>
        </w:rPr>
        <w:t>Prestar servicios profesionales para apoyar la gestión de la secretaría de salud pública y seguridad social mediante el liderazgo en diferentes líneas de trabajo en el marco del proyecto fortalecimiento del control de enfermedades crónicas no transmisibles y degenerativas, cáncer de interés epidemiológico en el municipio de Pereira</w:t>
      </w:r>
    </w:p>
    <w:p w:rsidR="00036F23" w:rsidRPr="002D41E2" w:rsidRDefault="00036F23" w:rsidP="00036F23">
      <w:pPr>
        <w:ind w:left="708" w:hanging="708"/>
        <w:jc w:val="both"/>
        <w:rPr>
          <w:rFonts w:ascii="Arial" w:hAnsi="Arial" w:cs="Arial"/>
          <w:sz w:val="22"/>
          <w:szCs w:val="22"/>
          <w:lang w:val="es-ES"/>
        </w:rPr>
      </w:pPr>
    </w:p>
    <w:p w:rsidR="00036F23" w:rsidRDefault="00036F23" w:rsidP="00036F23">
      <w:pPr>
        <w:jc w:val="both"/>
        <w:rPr>
          <w:rFonts w:ascii="Arial" w:hAnsi="Arial" w:cs="Arial"/>
          <w:b/>
          <w:color w:val="000000"/>
          <w:sz w:val="22"/>
          <w:szCs w:val="22"/>
        </w:rPr>
      </w:pPr>
    </w:p>
    <w:p w:rsidR="00036F23" w:rsidRPr="00DF5C12" w:rsidRDefault="00036F23" w:rsidP="00036F23">
      <w:pPr>
        <w:jc w:val="both"/>
        <w:rPr>
          <w:rFonts w:ascii="Arial" w:hAnsi="Arial" w:cs="Arial"/>
          <w:b/>
          <w:color w:val="000000"/>
          <w:sz w:val="22"/>
          <w:szCs w:val="22"/>
        </w:rPr>
      </w:pPr>
      <w:r w:rsidRPr="00DF5C12">
        <w:rPr>
          <w:rFonts w:ascii="Arial" w:hAnsi="Arial" w:cs="Arial"/>
          <w:b/>
          <w:color w:val="000000"/>
          <w:sz w:val="22"/>
          <w:szCs w:val="22"/>
        </w:rPr>
        <w:t>ALCANCE DEL OBJETO:</w:t>
      </w:r>
    </w:p>
    <w:p w:rsidR="00036F23" w:rsidRPr="002951C2" w:rsidRDefault="00036F23" w:rsidP="00036F23">
      <w:pPr>
        <w:jc w:val="both"/>
        <w:rPr>
          <w:rFonts w:ascii="Arial" w:hAnsi="Arial" w:cs="Arial"/>
          <w:color w:val="000000"/>
          <w:sz w:val="22"/>
          <w:szCs w:val="22"/>
        </w:rPr>
      </w:pPr>
    </w:p>
    <w:p w:rsidR="00036F23" w:rsidRPr="00DB473F" w:rsidRDefault="00036F23" w:rsidP="00DB473F">
      <w:pPr>
        <w:numPr>
          <w:ilvl w:val="0"/>
          <w:numId w:val="32"/>
        </w:numPr>
        <w:jc w:val="both"/>
        <w:rPr>
          <w:rFonts w:ascii="Arial" w:hAnsi="Arial" w:cs="Arial"/>
          <w:color w:val="000000"/>
          <w:sz w:val="22"/>
          <w:szCs w:val="22"/>
        </w:rPr>
      </w:pPr>
      <w:r w:rsidRPr="002951C2">
        <w:rPr>
          <w:rFonts w:ascii="Arial" w:hAnsi="Arial" w:cs="Arial"/>
          <w:color w:val="000000"/>
          <w:sz w:val="22"/>
          <w:szCs w:val="22"/>
        </w:rPr>
        <w:t>Pre</w:t>
      </w:r>
      <w:r w:rsidR="00DB473F">
        <w:rPr>
          <w:rFonts w:ascii="Arial" w:hAnsi="Arial" w:cs="Arial"/>
          <w:color w:val="000000"/>
          <w:sz w:val="22"/>
          <w:szCs w:val="22"/>
        </w:rPr>
        <w:t>s</w:t>
      </w:r>
      <w:r w:rsidRPr="002951C2">
        <w:rPr>
          <w:rFonts w:ascii="Arial" w:hAnsi="Arial" w:cs="Arial"/>
          <w:color w:val="000000"/>
          <w:sz w:val="22"/>
          <w:szCs w:val="22"/>
        </w:rPr>
        <w:t>ta</w:t>
      </w:r>
      <w:r w:rsidR="00DB473F">
        <w:rPr>
          <w:rFonts w:ascii="Arial" w:hAnsi="Arial" w:cs="Arial"/>
          <w:color w:val="000000"/>
          <w:sz w:val="22"/>
          <w:szCs w:val="22"/>
        </w:rPr>
        <w:t>r</w:t>
      </w:r>
      <w:r w:rsidRPr="002951C2">
        <w:rPr>
          <w:rFonts w:ascii="Arial" w:hAnsi="Arial" w:cs="Arial"/>
          <w:color w:val="000000"/>
          <w:sz w:val="22"/>
          <w:szCs w:val="22"/>
        </w:rPr>
        <w:t xml:space="preserve"> apoyo técnico integral a la Secretaría de Salud Pública y Seguridad Social en las líneas de trabajo de Adulto mayor, Cáncer y Donación de órganos, en el cumplimiento, desarrollo y ejecución de las líneas descritas mediante la respuesta a requerimientos técnicos y administrativos que incluyen la entrega de informes trimestrales, informe de gestión, plan de desarrollo, plan territorial, informe PIC, políticas públicas, y demás que sean solicitadas.</w:t>
      </w:r>
      <w:r w:rsidR="00DB473F">
        <w:rPr>
          <w:rFonts w:ascii="Arial" w:hAnsi="Arial" w:cs="Arial"/>
          <w:color w:val="000000"/>
          <w:sz w:val="22"/>
          <w:szCs w:val="22"/>
        </w:rPr>
        <w:t xml:space="preserve"> 2. </w:t>
      </w:r>
      <w:r w:rsidR="005C2D84" w:rsidRPr="00DB473F">
        <w:rPr>
          <w:rFonts w:ascii="Arial" w:hAnsi="Arial" w:cs="Arial"/>
          <w:color w:val="000000"/>
          <w:sz w:val="22"/>
          <w:szCs w:val="22"/>
        </w:rPr>
        <w:t>Contribuir a la p</w:t>
      </w:r>
      <w:r w:rsidRPr="00DB473F">
        <w:rPr>
          <w:rFonts w:ascii="Arial" w:hAnsi="Arial" w:cs="Arial"/>
          <w:color w:val="000000"/>
          <w:sz w:val="22"/>
          <w:szCs w:val="22"/>
        </w:rPr>
        <w:t>lanea</w:t>
      </w:r>
      <w:r w:rsidR="005C2D84" w:rsidRPr="00DB473F">
        <w:rPr>
          <w:rFonts w:ascii="Arial" w:hAnsi="Arial" w:cs="Arial"/>
          <w:color w:val="000000"/>
          <w:sz w:val="22"/>
          <w:szCs w:val="22"/>
        </w:rPr>
        <w:t>ción</w:t>
      </w:r>
      <w:r w:rsidRPr="00DB473F">
        <w:rPr>
          <w:rFonts w:ascii="Arial" w:hAnsi="Arial" w:cs="Arial"/>
          <w:color w:val="000000"/>
          <w:sz w:val="22"/>
          <w:szCs w:val="22"/>
        </w:rPr>
        <w:t>, ejecu</w:t>
      </w:r>
      <w:r w:rsidR="005C2D84" w:rsidRPr="00DB473F">
        <w:rPr>
          <w:rFonts w:ascii="Arial" w:hAnsi="Arial" w:cs="Arial"/>
          <w:color w:val="000000"/>
          <w:sz w:val="22"/>
          <w:szCs w:val="22"/>
        </w:rPr>
        <w:t xml:space="preserve">ción </w:t>
      </w:r>
      <w:r w:rsidRPr="00DB473F">
        <w:rPr>
          <w:rFonts w:ascii="Arial" w:hAnsi="Arial" w:cs="Arial"/>
          <w:color w:val="000000"/>
          <w:sz w:val="22"/>
          <w:szCs w:val="22"/>
        </w:rPr>
        <w:t>y seguimiento documental a las diferentes rutas o estrategias misionales que se despliegan en las líneas de trabajo (Adulto mayor, Cáncer y Donación de órganos), por parte de los contratistas asignados a cada una de estas.</w:t>
      </w:r>
      <w:r w:rsidR="00DB473F">
        <w:rPr>
          <w:rFonts w:ascii="Arial" w:hAnsi="Arial" w:cs="Arial"/>
          <w:color w:val="000000"/>
          <w:sz w:val="22"/>
          <w:szCs w:val="22"/>
        </w:rPr>
        <w:t xml:space="preserve"> 3. </w:t>
      </w:r>
      <w:r w:rsidRPr="00DB473F">
        <w:rPr>
          <w:rFonts w:ascii="Arial" w:hAnsi="Arial" w:cs="Arial"/>
          <w:color w:val="000000"/>
          <w:sz w:val="22"/>
          <w:szCs w:val="22"/>
        </w:rPr>
        <w:t>Participar en reuniones, unidades de análisis y mesas de trabajo con organizaciones de la sociedad civil, sectores públicos, privados e instituciones que trabajen en temas relacionados con las líneas asignadas (Adulto mayor, Cáncer y Donación de órganos)</w:t>
      </w:r>
      <w:r w:rsidR="00DB473F">
        <w:rPr>
          <w:rFonts w:ascii="Arial" w:hAnsi="Arial" w:cs="Arial"/>
          <w:color w:val="000000"/>
          <w:sz w:val="22"/>
          <w:szCs w:val="22"/>
        </w:rPr>
        <w:t xml:space="preserve">. 4. </w:t>
      </w:r>
      <w:r w:rsidRPr="00DB473F">
        <w:rPr>
          <w:rFonts w:ascii="Arial" w:hAnsi="Arial" w:cs="Arial"/>
          <w:color w:val="000000"/>
          <w:sz w:val="22"/>
          <w:szCs w:val="22"/>
        </w:rPr>
        <w:t>Apoyar el seguimiento mensual mediante la revisión de informes, seguimientos de campo y evaluación de proveedores cuando aplique, a los contratistas asignados a las líneas de trabajo correspondiente</w:t>
      </w:r>
      <w:r w:rsidR="00DB473F">
        <w:rPr>
          <w:rFonts w:ascii="Arial" w:hAnsi="Arial" w:cs="Arial"/>
          <w:color w:val="000000"/>
          <w:sz w:val="22"/>
          <w:szCs w:val="22"/>
        </w:rPr>
        <w:t xml:space="preserve">. 5. </w:t>
      </w:r>
      <w:r w:rsidRPr="00DB473F">
        <w:rPr>
          <w:rFonts w:ascii="Arial" w:hAnsi="Arial" w:cs="Arial"/>
          <w:color w:val="000000"/>
          <w:sz w:val="22"/>
          <w:szCs w:val="22"/>
        </w:rPr>
        <w:t>Programar y realizar reuniones y jornadas de trabajo con los contratistas asignados a las líneas o proyectos correspondientes para efectos de planeación y seguimiento.</w:t>
      </w:r>
      <w:r w:rsidR="00DB473F">
        <w:rPr>
          <w:rFonts w:ascii="Arial" w:hAnsi="Arial" w:cs="Arial"/>
          <w:color w:val="000000"/>
          <w:sz w:val="22"/>
          <w:szCs w:val="22"/>
        </w:rPr>
        <w:t xml:space="preserve"> 6. </w:t>
      </w:r>
      <w:r w:rsidRPr="00DB473F">
        <w:rPr>
          <w:rFonts w:ascii="Arial" w:hAnsi="Arial" w:cs="Arial"/>
          <w:color w:val="000000"/>
          <w:sz w:val="22"/>
          <w:szCs w:val="22"/>
        </w:rPr>
        <w:t>Las demás que sean asignadas y afines con el objeto, los alcances del contrato y la misión de la entidad</w:t>
      </w:r>
      <w:bookmarkEnd w:id="4"/>
      <w:r w:rsidRPr="00DB473F">
        <w:rPr>
          <w:rFonts w:ascii="Arial" w:hAnsi="Arial" w:cs="Arial"/>
          <w:color w:val="000000"/>
          <w:sz w:val="22"/>
          <w:szCs w:val="22"/>
        </w:rPr>
        <w:t>.</w:t>
      </w:r>
    </w:p>
    <w:p w:rsidR="00036F23" w:rsidRDefault="00036F23" w:rsidP="00036F23">
      <w:pPr>
        <w:jc w:val="both"/>
        <w:rPr>
          <w:rFonts w:ascii="Arial" w:hAnsi="Arial" w:cs="Arial"/>
          <w:b/>
          <w:color w:val="000000"/>
          <w:sz w:val="22"/>
          <w:szCs w:val="22"/>
        </w:rPr>
      </w:pPr>
    </w:p>
    <w:p w:rsidR="00036F23" w:rsidRPr="00DF5C12" w:rsidRDefault="00036F23" w:rsidP="00036F23">
      <w:pPr>
        <w:jc w:val="both"/>
        <w:rPr>
          <w:rFonts w:ascii="Arial" w:hAnsi="Arial" w:cs="Arial"/>
          <w:color w:val="FF0000"/>
          <w:sz w:val="22"/>
          <w:szCs w:val="22"/>
        </w:rPr>
      </w:pPr>
    </w:p>
    <w:p w:rsidR="00036F23" w:rsidRPr="00DF5C12" w:rsidRDefault="00036F23" w:rsidP="00036F23">
      <w:pPr>
        <w:jc w:val="both"/>
        <w:rPr>
          <w:rFonts w:ascii="Arial" w:hAnsi="Arial" w:cs="Arial"/>
          <w:sz w:val="22"/>
          <w:szCs w:val="22"/>
        </w:rPr>
      </w:pPr>
    </w:p>
    <w:p w:rsidR="00036F23" w:rsidRDefault="00036F23" w:rsidP="00036F23">
      <w:pPr>
        <w:pStyle w:val="WW-NormalWeb"/>
        <w:spacing w:before="0"/>
        <w:ind w:right="17"/>
        <w:rPr>
          <w:rFonts w:ascii="Arial" w:hAnsi="Arial" w:cs="Arial"/>
          <w:sz w:val="22"/>
          <w:szCs w:val="22"/>
        </w:rPr>
      </w:pPr>
      <w:r w:rsidRPr="00DF5C12">
        <w:rPr>
          <w:rFonts w:ascii="Arial" w:hAnsi="Arial" w:cs="Arial"/>
          <w:b/>
          <w:sz w:val="22"/>
          <w:szCs w:val="22"/>
        </w:rPr>
        <w:t>IDONEIDAD:</w:t>
      </w:r>
      <w:r w:rsidRPr="00DF5C12">
        <w:rPr>
          <w:rFonts w:ascii="Arial" w:hAnsi="Arial" w:cs="Arial"/>
          <w:sz w:val="22"/>
          <w:szCs w:val="22"/>
        </w:rPr>
        <w:t xml:space="preserve"> </w:t>
      </w:r>
      <w:bookmarkStart w:id="5" w:name="_GoBack"/>
      <w:r>
        <w:rPr>
          <w:rFonts w:ascii="Arial" w:hAnsi="Arial" w:cs="Arial"/>
          <w:sz w:val="22"/>
          <w:szCs w:val="22"/>
        </w:rPr>
        <w:t>Título profesional en</w:t>
      </w:r>
      <w:r w:rsidRPr="00DF5C12">
        <w:rPr>
          <w:rFonts w:ascii="Arial" w:hAnsi="Arial" w:cs="Arial"/>
          <w:sz w:val="22"/>
          <w:szCs w:val="22"/>
        </w:rPr>
        <w:t xml:space="preserve"> </w:t>
      </w:r>
      <w:r>
        <w:rPr>
          <w:rFonts w:ascii="Arial" w:hAnsi="Arial" w:cs="Arial"/>
          <w:sz w:val="22"/>
          <w:szCs w:val="22"/>
        </w:rPr>
        <w:t>área de la salud con especialización en áreas de la administración, auditoría o gerencia de la salud.</w:t>
      </w:r>
      <w:bookmarkEnd w:id="5"/>
    </w:p>
    <w:p w:rsidR="00036F23" w:rsidRPr="00DF5C12" w:rsidRDefault="00036F23" w:rsidP="00036F23">
      <w:pPr>
        <w:pStyle w:val="WW-NormalWeb"/>
        <w:spacing w:before="0"/>
        <w:ind w:right="17"/>
        <w:rPr>
          <w:rFonts w:ascii="Arial" w:hAnsi="Arial" w:cs="Arial"/>
          <w:sz w:val="22"/>
          <w:szCs w:val="22"/>
        </w:rPr>
      </w:pPr>
    </w:p>
    <w:p w:rsidR="00036F23" w:rsidRDefault="00036F23" w:rsidP="00036F23">
      <w:pPr>
        <w:pStyle w:val="WW-NormalWeb"/>
        <w:spacing w:before="0"/>
        <w:ind w:right="17"/>
        <w:rPr>
          <w:rFonts w:ascii="Arial" w:hAnsi="Arial" w:cs="Arial"/>
          <w:sz w:val="22"/>
          <w:szCs w:val="22"/>
        </w:rPr>
      </w:pPr>
      <w:r w:rsidRPr="00DF5C12">
        <w:rPr>
          <w:rFonts w:ascii="Arial" w:hAnsi="Arial" w:cs="Arial"/>
          <w:b/>
          <w:sz w:val="22"/>
          <w:szCs w:val="22"/>
        </w:rPr>
        <w:t>EXPERIENCIA:</w:t>
      </w:r>
      <w:r w:rsidRPr="00DF5C12">
        <w:rPr>
          <w:rFonts w:ascii="Arial" w:hAnsi="Arial" w:cs="Arial"/>
          <w:sz w:val="22"/>
          <w:szCs w:val="22"/>
        </w:rPr>
        <w:t xml:space="preserve"> mínima de </w:t>
      </w:r>
      <w:r>
        <w:rPr>
          <w:rFonts w:ascii="Arial" w:hAnsi="Arial" w:cs="Arial"/>
          <w:sz w:val="22"/>
          <w:szCs w:val="22"/>
        </w:rPr>
        <w:t>dos</w:t>
      </w:r>
      <w:r w:rsidRPr="00DF5C12">
        <w:rPr>
          <w:rFonts w:ascii="Arial" w:hAnsi="Arial" w:cs="Arial"/>
          <w:sz w:val="22"/>
          <w:szCs w:val="22"/>
        </w:rPr>
        <w:t xml:space="preserve"> (</w:t>
      </w:r>
      <w:r>
        <w:rPr>
          <w:rFonts w:ascii="Arial" w:hAnsi="Arial" w:cs="Arial"/>
          <w:sz w:val="22"/>
          <w:szCs w:val="22"/>
        </w:rPr>
        <w:t>2</w:t>
      </w:r>
      <w:r w:rsidRPr="00DF5C12">
        <w:rPr>
          <w:rFonts w:ascii="Arial" w:hAnsi="Arial" w:cs="Arial"/>
          <w:sz w:val="22"/>
          <w:szCs w:val="22"/>
        </w:rPr>
        <w:t xml:space="preserve">) año en </w:t>
      </w:r>
      <w:r>
        <w:rPr>
          <w:rFonts w:ascii="Arial" w:hAnsi="Arial" w:cs="Arial"/>
          <w:sz w:val="22"/>
          <w:szCs w:val="22"/>
        </w:rPr>
        <w:t>áreas relacionadas con los alcances del contrato.</w:t>
      </w:r>
    </w:p>
    <w:p w:rsidR="00036F23" w:rsidRDefault="00036F23" w:rsidP="00036F23">
      <w:pPr>
        <w:pStyle w:val="WW-NormalWeb"/>
        <w:spacing w:before="0"/>
        <w:ind w:right="17"/>
        <w:rPr>
          <w:rFonts w:ascii="Arial" w:hAnsi="Arial" w:cs="Arial"/>
          <w:sz w:val="22"/>
          <w:szCs w:val="22"/>
        </w:rPr>
      </w:pPr>
    </w:p>
    <w:sectPr w:rsidR="00036F23" w:rsidSect="006D0728">
      <w:headerReference w:type="default" r:id="rId8"/>
      <w:footerReference w:type="default" r:id="rId9"/>
      <w:pgSz w:w="12240" w:h="15840"/>
      <w:pgMar w:top="2268" w:right="1701" w:bottom="1985"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244" w:rsidRDefault="00D83244">
      <w:r>
        <w:separator/>
      </w:r>
    </w:p>
  </w:endnote>
  <w:endnote w:type="continuationSeparator" w:id="0">
    <w:p w:rsidR="00D83244" w:rsidRDefault="00D8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F77" w:rsidRDefault="00297749" w:rsidP="001D2F77">
    <w:pPr>
      <w:pStyle w:val="Piedepgina"/>
      <w:ind w:right="360"/>
      <w:jc w:val="center"/>
      <w:rPr>
        <w:rFonts w:ascii="Trebuchet MS" w:eastAsia="Arial Unicode MS" w:hAnsi="Trebuchet MS" w:cs="Trebuchet MS"/>
        <w:sz w:val="18"/>
        <w:lang w:val="pt-BR"/>
      </w:rPr>
    </w:pPr>
    <w:r>
      <w:rPr>
        <w:noProof/>
        <w:lang w:val="es-CO" w:eastAsia="es-CO"/>
      </w:rPr>
      <mc:AlternateContent>
        <mc:Choice Requires="wps">
          <w:drawing>
            <wp:anchor distT="0" distB="0" distL="0" distR="0" simplePos="0" relativeHeight="251658240" behindDoc="0" locked="0" layoutInCell="1" allowOverlap="1">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F77" w:rsidRDefault="001D2F77" w:rsidP="001D2F77">
                          <w:pPr>
                            <w:pStyle w:val="Piedepgina"/>
                          </w:pPr>
                          <w:r>
                            <w:rPr>
                              <w:rStyle w:val="Nmerodepgina"/>
                            </w:rPr>
                            <w:fldChar w:fldCharType="begin"/>
                          </w:r>
                          <w:r>
                            <w:rPr>
                              <w:rStyle w:val="Nmerodepgina"/>
                            </w:rPr>
                            <w:instrText xml:space="preserve"> PAGE </w:instrText>
                          </w:r>
                          <w:r>
                            <w:rPr>
                              <w:rStyle w:val="Nmerodepgina"/>
                            </w:rPr>
                            <w:fldChar w:fldCharType="separate"/>
                          </w:r>
                          <w:r w:rsidR="006313DC">
                            <w:rPr>
                              <w:rStyle w:val="Nmerodepgina"/>
                              <w:noProof/>
                            </w:rPr>
                            <w:t>5</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4.95pt;margin-top:.05pt;width:4.85pt;height:11.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nZiQ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" stroked="f">
              <v:fill opacity="0"/>
              <v:textbox inset="0,0,0,0">
                <w:txbxContent>
                  <w:p w:rsidR="001D2F77" w:rsidRDefault="001D2F77" w:rsidP="001D2F77">
                    <w:pPr>
                      <w:pStyle w:val="Piedepgina"/>
                    </w:pPr>
                    <w:r>
                      <w:rPr>
                        <w:rStyle w:val="Nmerodepgina"/>
                      </w:rPr>
                      <w:fldChar w:fldCharType="begin"/>
                    </w:r>
                    <w:r>
                      <w:rPr>
                        <w:rStyle w:val="Nmerodepgina"/>
                      </w:rPr>
                      <w:instrText xml:space="preserve"> PAGE </w:instrText>
                    </w:r>
                    <w:r>
                      <w:rPr>
                        <w:rStyle w:val="Nmerodepgina"/>
                      </w:rPr>
                      <w:fldChar w:fldCharType="separate"/>
                    </w:r>
                    <w:r w:rsidR="006313DC">
                      <w:rPr>
                        <w:rStyle w:val="Nmerodepgina"/>
                        <w:noProof/>
                      </w:rPr>
                      <w:t>5</w:t>
                    </w:r>
                    <w:r>
                      <w:rPr>
                        <w:rStyle w:val="Nmerodepgina"/>
                      </w:rPr>
                      <w:fldChar w:fldCharType="end"/>
                    </w:r>
                  </w:p>
                </w:txbxContent>
              </v:textbox>
              <w10:wrap type="square" side="largest" anchorx="page"/>
            </v:shape>
          </w:pict>
        </mc:Fallback>
      </mc:AlternateContent>
    </w:r>
    <w:proofErr w:type="spellStart"/>
    <w:r w:rsidR="001D2F77">
      <w:rPr>
        <w:rFonts w:ascii="Trebuchet MS" w:eastAsia="Arial Unicode MS" w:hAnsi="Trebuchet MS" w:cs="Trebuchet MS"/>
        <w:sz w:val="18"/>
        <w:lang w:val="pt-BR"/>
      </w:rPr>
      <w:t>Calle</w:t>
    </w:r>
    <w:proofErr w:type="spellEnd"/>
    <w:r w:rsidR="001D2F77">
      <w:rPr>
        <w:rFonts w:ascii="Trebuchet MS" w:eastAsia="Arial Unicode MS" w:hAnsi="Trebuchet MS" w:cs="Trebuchet MS"/>
        <w:sz w:val="18"/>
        <w:lang w:val="pt-BR"/>
      </w:rPr>
      <w:t xml:space="preserve"> 19 No. 10-02 Pereira.  Telefono: 3248307</w:t>
    </w:r>
  </w:p>
  <w:p w:rsidR="001D2F77" w:rsidRDefault="001D2F77" w:rsidP="001D2F77">
    <w:pPr>
      <w:pStyle w:val="Piedepgina"/>
      <w:ind w:right="360"/>
      <w:jc w:val="center"/>
    </w:pPr>
    <w:r>
      <w:rPr>
        <w:rFonts w:ascii="Trebuchet MS" w:eastAsia="Arial Unicode MS" w:hAnsi="Trebuchet MS" w:cs="Trebuchet MS"/>
        <w:sz w:val="18"/>
        <w:lang w:val="pt-BR"/>
      </w:rPr>
      <w:t>www.dlspereira.gov.co</w:t>
    </w:r>
  </w:p>
  <w:p w:rsidR="00655630" w:rsidRDefault="00655630" w:rsidP="00DF5C1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244" w:rsidRDefault="00D83244">
      <w:r>
        <w:separator/>
      </w:r>
    </w:p>
  </w:footnote>
  <w:footnote w:type="continuationSeparator" w:id="0">
    <w:p w:rsidR="00D83244" w:rsidRDefault="00D8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F77" w:rsidRDefault="001D2F77" w:rsidP="001D2F77">
    <w:pPr>
      <w:pStyle w:val="Encabezado"/>
    </w:pPr>
  </w:p>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1D2F77" w:rsidRPr="00B467BC" w:rsidTr="00934146">
      <w:trPr>
        <w:cantSplit/>
        <w:trHeight w:val="399"/>
      </w:trPr>
      <w:tc>
        <w:tcPr>
          <w:tcW w:w="2434" w:type="dxa"/>
          <w:vMerge w:val="restart"/>
        </w:tcPr>
        <w:p w:rsidR="001D2F77" w:rsidRPr="00B467BC" w:rsidRDefault="00297749" w:rsidP="001D2F77">
          <w:pPr>
            <w:tabs>
              <w:tab w:val="center" w:pos="4252"/>
              <w:tab w:val="right" w:pos="8504"/>
            </w:tabs>
            <w:suppressAutoHyphens w:val="0"/>
            <w:rPr>
              <w:sz w:val="24"/>
              <w:szCs w:val="24"/>
              <w:lang w:val="es-ES" w:eastAsia="es-ES"/>
            </w:rPr>
          </w:pPr>
          <w:r w:rsidRPr="00B467BC">
            <w:rPr>
              <w:noProof/>
              <w:sz w:val="24"/>
              <w:szCs w:val="24"/>
              <w:lang w:eastAsia="es-CO"/>
            </w:rPr>
            <w:drawing>
              <wp:anchor distT="0" distB="0" distL="114300" distR="114300" simplePos="0" relativeHeight="251657216" behindDoc="1" locked="0" layoutInCell="1" allowOverlap="1">
                <wp:simplePos x="0" y="0"/>
                <wp:positionH relativeFrom="column">
                  <wp:posOffset>220980</wp:posOffset>
                </wp:positionH>
                <wp:positionV relativeFrom="paragraph">
                  <wp:posOffset>-981075</wp:posOffset>
                </wp:positionV>
                <wp:extent cx="965835" cy="854710"/>
                <wp:effectExtent l="0" t="0" r="0" b="0"/>
                <wp:wrapTight wrapText="bothSides">
                  <wp:wrapPolygon edited="0">
                    <wp:start x="0" y="0"/>
                    <wp:lineTo x="0" y="21183"/>
                    <wp:lineTo x="21302" y="21183"/>
                    <wp:lineTo x="21302" y="0"/>
                    <wp:lineTo x="0" y="0"/>
                  </wp:wrapPolygon>
                </wp:wrapTight>
                <wp:docPr id="2" name="Imagen 1"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rsidR="001D2F77" w:rsidRPr="00297749" w:rsidRDefault="001D2F77" w:rsidP="001D2F77">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297749">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ESTUDIO PREVIO </w:t>
          </w:r>
        </w:p>
        <w:p w:rsidR="001D2F77" w:rsidRPr="00297749" w:rsidRDefault="001D2F77" w:rsidP="001D2F77">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297749">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SECRETARIA DE SEGURIDAD Y SEGURIDAD SOCIAL</w:t>
          </w:r>
        </w:p>
      </w:tc>
      <w:tc>
        <w:tcPr>
          <w:tcW w:w="1417" w:type="dxa"/>
          <w:tcMar>
            <w:left w:w="57" w:type="dxa"/>
            <w:right w:w="57" w:type="dxa"/>
          </w:tcMar>
          <w:vAlign w:val="center"/>
        </w:tcPr>
        <w:p w:rsidR="001D2F77" w:rsidRPr="00B467BC" w:rsidRDefault="001D2F77" w:rsidP="001D2F77">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r w:rsidRPr="00B467BC">
            <w:rPr>
              <w:rFonts w:ascii="Tahoma" w:hAnsi="Tahoma" w:cs="Tahoma"/>
              <w:sz w:val="22"/>
              <w:szCs w:val="24"/>
              <w:lang w:val="es-ES" w:eastAsia="es-ES"/>
            </w:rPr>
            <w:t xml:space="preserve"> </w:t>
          </w:r>
        </w:p>
      </w:tc>
      <w:tc>
        <w:tcPr>
          <w:tcW w:w="948" w:type="dxa"/>
          <w:tcMar>
            <w:left w:w="57" w:type="dxa"/>
            <w:right w:w="57" w:type="dxa"/>
          </w:tcMar>
          <w:vAlign w:val="center"/>
        </w:tcPr>
        <w:p w:rsidR="001D2F77" w:rsidRPr="00B467BC" w:rsidRDefault="001D2F77" w:rsidP="001D2F77">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1D2F77" w:rsidRPr="00B467BC" w:rsidTr="00934146">
      <w:trPr>
        <w:cantSplit/>
        <w:trHeight w:val="399"/>
      </w:trPr>
      <w:tc>
        <w:tcPr>
          <w:tcW w:w="2434" w:type="dxa"/>
          <w:vMerge/>
        </w:tcPr>
        <w:p w:rsidR="001D2F77" w:rsidRPr="00B467BC" w:rsidRDefault="001D2F77" w:rsidP="001D2F77">
          <w:pPr>
            <w:tabs>
              <w:tab w:val="center" w:pos="4252"/>
              <w:tab w:val="right" w:pos="8504"/>
            </w:tabs>
            <w:suppressAutoHyphens w:val="0"/>
            <w:rPr>
              <w:sz w:val="24"/>
              <w:szCs w:val="24"/>
              <w:lang w:val="es-ES" w:eastAsia="es-ES"/>
            </w:rPr>
          </w:pPr>
        </w:p>
      </w:tc>
      <w:tc>
        <w:tcPr>
          <w:tcW w:w="6603" w:type="dxa"/>
          <w:vMerge/>
        </w:tcPr>
        <w:p w:rsidR="001D2F77" w:rsidRPr="00B467BC" w:rsidRDefault="001D2F77" w:rsidP="001D2F77">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1D2F77" w:rsidRPr="00B467BC" w:rsidRDefault="001D2F77" w:rsidP="001D2F77">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r w:rsidRPr="00B467BC">
            <w:rPr>
              <w:rFonts w:ascii="Tahoma" w:hAnsi="Tahoma" w:cs="Tahoma"/>
              <w:sz w:val="22"/>
              <w:szCs w:val="24"/>
              <w:lang w:val="es-ES" w:eastAsia="es-ES"/>
            </w:rPr>
            <w:t xml:space="preserve"> </w:t>
          </w:r>
        </w:p>
      </w:tc>
      <w:tc>
        <w:tcPr>
          <w:tcW w:w="948" w:type="dxa"/>
          <w:tcMar>
            <w:left w:w="57" w:type="dxa"/>
            <w:right w:w="57" w:type="dxa"/>
          </w:tcMar>
          <w:vAlign w:val="center"/>
        </w:tcPr>
        <w:p w:rsidR="001D2F77" w:rsidRPr="00B467BC" w:rsidRDefault="001D2F77" w:rsidP="001D2F77">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1D2F77" w:rsidRPr="00B467BC" w:rsidTr="00934146">
      <w:trPr>
        <w:cantSplit/>
        <w:trHeight w:val="399"/>
      </w:trPr>
      <w:tc>
        <w:tcPr>
          <w:tcW w:w="2434" w:type="dxa"/>
          <w:vMerge/>
        </w:tcPr>
        <w:p w:rsidR="001D2F77" w:rsidRPr="00B467BC" w:rsidRDefault="001D2F77" w:rsidP="001D2F77">
          <w:pPr>
            <w:tabs>
              <w:tab w:val="center" w:pos="4252"/>
              <w:tab w:val="right" w:pos="8504"/>
            </w:tabs>
            <w:suppressAutoHyphens w:val="0"/>
            <w:rPr>
              <w:sz w:val="24"/>
              <w:szCs w:val="24"/>
              <w:lang w:val="es-ES" w:eastAsia="es-ES"/>
            </w:rPr>
          </w:pPr>
        </w:p>
      </w:tc>
      <w:tc>
        <w:tcPr>
          <w:tcW w:w="6603" w:type="dxa"/>
          <w:vMerge/>
        </w:tcPr>
        <w:p w:rsidR="001D2F77" w:rsidRPr="00B467BC" w:rsidRDefault="001D2F77" w:rsidP="001D2F77">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1D2F77" w:rsidRPr="00B467BC" w:rsidRDefault="001D2F77" w:rsidP="001D2F77">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1D2F77" w:rsidRPr="00B467BC" w:rsidRDefault="001D2F77" w:rsidP="001D2F77">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w:instrText>
          </w:r>
          <w:r>
            <w:rPr>
              <w:rFonts w:ascii="Tahoma" w:hAnsi="Tahoma" w:cs="Tahoma"/>
              <w:sz w:val="22"/>
              <w:szCs w:val="24"/>
              <w:lang w:val="es-ES" w:eastAsia="es-ES"/>
            </w:rPr>
            <w:instrText>PAGE</w:instrText>
          </w:r>
          <w:r w:rsidRPr="00B467BC">
            <w:rPr>
              <w:rFonts w:ascii="Tahoma" w:hAnsi="Tahoma" w:cs="Tahoma"/>
              <w:sz w:val="22"/>
              <w:szCs w:val="24"/>
              <w:lang w:val="es-ES" w:eastAsia="es-ES"/>
            </w:rPr>
            <w:instrText xml:space="preserve"> </w:instrText>
          </w:r>
          <w:r w:rsidRPr="00B467BC">
            <w:rPr>
              <w:rFonts w:ascii="Tahoma" w:hAnsi="Tahoma" w:cs="Tahoma"/>
              <w:sz w:val="22"/>
              <w:szCs w:val="24"/>
              <w:lang w:val="es-ES" w:eastAsia="es-ES"/>
            </w:rPr>
            <w:fldChar w:fldCharType="separate"/>
          </w:r>
          <w:r w:rsidR="006313DC">
            <w:rPr>
              <w:rFonts w:ascii="Tahoma" w:hAnsi="Tahoma" w:cs="Tahoma"/>
              <w:noProof/>
              <w:sz w:val="22"/>
              <w:szCs w:val="24"/>
              <w:lang w:val="es-ES" w:eastAsia="es-ES"/>
            </w:rPr>
            <w:t>5</w:t>
          </w:r>
          <w:r w:rsidRPr="00B467BC">
            <w:rPr>
              <w:rFonts w:ascii="Tahoma" w:hAnsi="Tahoma" w:cs="Tahoma"/>
              <w:sz w:val="22"/>
              <w:szCs w:val="24"/>
              <w:lang w:val="es-ES" w:eastAsia="es-ES"/>
            </w:rPr>
            <w:fldChar w:fldCharType="end"/>
          </w:r>
          <w:r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w:instrText>
          </w:r>
          <w:r>
            <w:rPr>
              <w:rFonts w:ascii="Tahoma" w:hAnsi="Tahoma" w:cs="Tahoma"/>
              <w:sz w:val="22"/>
              <w:szCs w:val="24"/>
              <w:lang w:val="es-ES" w:eastAsia="es-ES"/>
            </w:rPr>
            <w:instrText>NUMPAGES</w:instrText>
          </w:r>
          <w:r w:rsidRPr="00B467BC">
            <w:rPr>
              <w:rFonts w:ascii="Tahoma" w:hAnsi="Tahoma" w:cs="Tahoma"/>
              <w:sz w:val="22"/>
              <w:szCs w:val="24"/>
              <w:lang w:val="es-ES" w:eastAsia="es-ES"/>
            </w:rPr>
            <w:instrText xml:space="preserve"> </w:instrText>
          </w:r>
          <w:r w:rsidRPr="00B467BC">
            <w:rPr>
              <w:rFonts w:ascii="Tahoma" w:hAnsi="Tahoma" w:cs="Tahoma"/>
              <w:sz w:val="22"/>
              <w:szCs w:val="24"/>
              <w:lang w:val="es-ES" w:eastAsia="es-ES"/>
            </w:rPr>
            <w:fldChar w:fldCharType="separate"/>
          </w:r>
          <w:r w:rsidR="006313DC">
            <w:rPr>
              <w:rFonts w:ascii="Tahoma" w:hAnsi="Tahoma" w:cs="Tahoma"/>
              <w:noProof/>
              <w:sz w:val="22"/>
              <w:szCs w:val="24"/>
              <w:lang w:val="es-ES" w:eastAsia="es-ES"/>
            </w:rPr>
            <w:t>5</w:t>
          </w:r>
          <w:r w:rsidRPr="00B467BC">
            <w:rPr>
              <w:rFonts w:ascii="Tahoma" w:hAnsi="Tahoma" w:cs="Tahoma"/>
              <w:sz w:val="22"/>
              <w:szCs w:val="24"/>
              <w:lang w:val="es-ES" w:eastAsia="es-ES"/>
            </w:rPr>
            <w:fldChar w:fldCharType="end"/>
          </w:r>
        </w:p>
      </w:tc>
    </w:tr>
  </w:tbl>
  <w:p w:rsidR="001D2F77" w:rsidRDefault="001D2F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E4D7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8278D828"/>
    <w:name w:val="WW8Num3"/>
    <w:lvl w:ilvl="0">
      <w:start w:val="1"/>
      <w:numFmt w:val="decimal"/>
      <w:lvlText w:val="%1."/>
      <w:lvlJc w:val="left"/>
      <w:pPr>
        <w:tabs>
          <w:tab w:val="num" w:pos="502"/>
        </w:tabs>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E71E7E"/>
    <w:multiLevelType w:val="hybridMultilevel"/>
    <w:tmpl w:val="62B05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4111D12"/>
    <w:multiLevelType w:val="hybridMultilevel"/>
    <w:tmpl w:val="EF00720A"/>
    <w:lvl w:ilvl="0" w:tplc="C94C220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06F62DFA"/>
    <w:multiLevelType w:val="hybridMultilevel"/>
    <w:tmpl w:val="B36CD6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62533C"/>
    <w:multiLevelType w:val="hybridMultilevel"/>
    <w:tmpl w:val="FBC0AF7A"/>
    <w:lvl w:ilvl="0" w:tplc="0C0A000F">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F346407"/>
    <w:multiLevelType w:val="hybridMultilevel"/>
    <w:tmpl w:val="C0A63A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732D0C"/>
    <w:multiLevelType w:val="singleLevel"/>
    <w:tmpl w:val="55C61E00"/>
    <w:lvl w:ilvl="0">
      <w:start w:val="2"/>
      <w:numFmt w:val="decimal"/>
      <w:lvlText w:val="2.%1"/>
      <w:legacy w:legacy="1" w:legacySpace="0" w:legacyIndent="353"/>
      <w:lvlJc w:val="left"/>
      <w:rPr>
        <w:rFonts w:ascii="Arial" w:hAnsi="Arial" w:cs="Arial" w:hint="default"/>
      </w:rPr>
    </w:lvl>
  </w:abstractNum>
  <w:abstractNum w:abstractNumId="10" w15:restartNumberingAfterBreak="0">
    <w:nsid w:val="1CF93813"/>
    <w:multiLevelType w:val="hybridMultilevel"/>
    <w:tmpl w:val="0DEC7E76"/>
    <w:lvl w:ilvl="0" w:tplc="D4488D48">
      <w:start w:val="1"/>
      <w:numFmt w:val="decimal"/>
      <w:lvlText w:val="%1."/>
      <w:lvlJc w:val="left"/>
      <w:pPr>
        <w:ind w:left="1068"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9A1FBF"/>
    <w:multiLevelType w:val="hybridMultilevel"/>
    <w:tmpl w:val="A4C82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924543"/>
    <w:multiLevelType w:val="hybridMultilevel"/>
    <w:tmpl w:val="34A296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457FC0"/>
    <w:multiLevelType w:val="hybridMultilevel"/>
    <w:tmpl w:val="58EA81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A85C8B"/>
    <w:multiLevelType w:val="multilevel"/>
    <w:tmpl w:val="03D421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704799"/>
    <w:multiLevelType w:val="hybridMultilevel"/>
    <w:tmpl w:val="D6C4DF94"/>
    <w:lvl w:ilvl="0" w:tplc="5BD8DC52">
      <w:start w:val="4"/>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6" w15:restartNumberingAfterBreak="0">
    <w:nsid w:val="319E2CBE"/>
    <w:multiLevelType w:val="hybridMultilevel"/>
    <w:tmpl w:val="BF7C9122"/>
    <w:lvl w:ilvl="0" w:tplc="8294D3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D4357F"/>
    <w:multiLevelType w:val="hybridMultilevel"/>
    <w:tmpl w:val="4D229B4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94CC5"/>
    <w:multiLevelType w:val="multilevel"/>
    <w:tmpl w:val="8278D828"/>
    <w:lvl w:ilvl="0">
      <w:start w:val="1"/>
      <w:numFmt w:val="decimal"/>
      <w:lvlText w:val="%1."/>
      <w:lvlJc w:val="left"/>
      <w:pPr>
        <w:tabs>
          <w:tab w:val="num" w:pos="502"/>
        </w:tabs>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84C6284"/>
    <w:multiLevelType w:val="hybridMultilevel"/>
    <w:tmpl w:val="94FACCC0"/>
    <w:lvl w:ilvl="0" w:tplc="935E0B6C">
      <w:start w:val="1"/>
      <w:numFmt w:val="decimal"/>
      <w:lvlText w:val="%1."/>
      <w:lvlJc w:val="left"/>
      <w:pPr>
        <w:ind w:left="720" w:hanging="360"/>
      </w:pPr>
      <w:rPr>
        <w:rFonts w:hint="default"/>
        <w:color w:val="000000"/>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EF5AA9"/>
    <w:multiLevelType w:val="hybridMultilevel"/>
    <w:tmpl w:val="957C2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22" w15:restartNumberingAfterBreak="0">
    <w:nsid w:val="51CE208A"/>
    <w:multiLevelType w:val="hybridMultilevel"/>
    <w:tmpl w:val="B0486B46"/>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3A70323"/>
    <w:multiLevelType w:val="multilevel"/>
    <w:tmpl w:val="8FECC3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74B252D"/>
    <w:multiLevelType w:val="hybridMultilevel"/>
    <w:tmpl w:val="C340E44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5F242CAB"/>
    <w:multiLevelType w:val="hybridMultilevel"/>
    <w:tmpl w:val="7708D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F351509"/>
    <w:multiLevelType w:val="hybridMultilevel"/>
    <w:tmpl w:val="7DE09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B25481"/>
    <w:multiLevelType w:val="hybridMultilevel"/>
    <w:tmpl w:val="2A2AF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6AA3AF3"/>
    <w:multiLevelType w:val="hybridMultilevel"/>
    <w:tmpl w:val="7AB28D42"/>
    <w:lvl w:ilvl="0" w:tplc="5766562E">
      <w:start w:val="6"/>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0" w15:restartNumberingAfterBreak="0">
    <w:nsid w:val="776477DE"/>
    <w:multiLevelType w:val="hybridMultilevel"/>
    <w:tmpl w:val="BD0E5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7B11356"/>
    <w:multiLevelType w:val="hybridMultilevel"/>
    <w:tmpl w:val="A82407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6"/>
  </w:num>
  <w:num w:numId="5">
    <w:abstractNumId w:val="21"/>
  </w:num>
  <w:num w:numId="6">
    <w:abstractNumId w:val="7"/>
  </w:num>
  <w:num w:numId="7">
    <w:abstractNumId w:val="14"/>
  </w:num>
  <w:num w:numId="8">
    <w:abstractNumId w:val="4"/>
  </w:num>
  <w:num w:numId="9">
    <w:abstractNumId w:val="12"/>
  </w:num>
  <w:num w:numId="10">
    <w:abstractNumId w:val="18"/>
  </w:num>
  <w:num w:numId="11">
    <w:abstractNumId w:val="15"/>
  </w:num>
  <w:num w:numId="12">
    <w:abstractNumId w:val="20"/>
  </w:num>
  <w:num w:numId="13">
    <w:abstractNumId w:val="29"/>
  </w:num>
  <w:num w:numId="14">
    <w:abstractNumId w:val="0"/>
  </w:num>
  <w:num w:numId="15">
    <w:abstractNumId w:val="17"/>
  </w:num>
  <w:num w:numId="16">
    <w:abstractNumId w:val="27"/>
  </w:num>
  <w:num w:numId="17">
    <w:abstractNumId w:val="22"/>
  </w:num>
  <w:num w:numId="18">
    <w:abstractNumId w:val="23"/>
  </w:num>
  <w:num w:numId="19">
    <w:abstractNumId w:val="8"/>
  </w:num>
  <w:num w:numId="20">
    <w:abstractNumId w:val="19"/>
  </w:num>
  <w:num w:numId="21">
    <w:abstractNumId w:val="30"/>
  </w:num>
  <w:num w:numId="22">
    <w:abstractNumId w:val="28"/>
  </w:num>
  <w:num w:numId="23">
    <w:abstractNumId w:val="25"/>
  </w:num>
  <w:num w:numId="24">
    <w:abstractNumId w:val="6"/>
  </w:num>
  <w:num w:numId="25">
    <w:abstractNumId w:val="5"/>
  </w:num>
  <w:num w:numId="26">
    <w:abstractNumId w:val="10"/>
  </w:num>
  <w:num w:numId="27">
    <w:abstractNumId w:val="31"/>
  </w:num>
  <w:num w:numId="28">
    <w:abstractNumId w:val="9"/>
  </w:num>
  <w:num w:numId="29">
    <w:abstractNumId w:val="24"/>
  </w:num>
  <w:num w:numId="30">
    <w:abstractNumId w:val="16"/>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00F97"/>
    <w:rsid w:val="00022A53"/>
    <w:rsid w:val="00023DD7"/>
    <w:rsid w:val="00024838"/>
    <w:rsid w:val="00036F23"/>
    <w:rsid w:val="00062DD5"/>
    <w:rsid w:val="00077301"/>
    <w:rsid w:val="00077F46"/>
    <w:rsid w:val="000859EE"/>
    <w:rsid w:val="00087A3F"/>
    <w:rsid w:val="0009382F"/>
    <w:rsid w:val="000A0394"/>
    <w:rsid w:val="000A3F18"/>
    <w:rsid w:val="000B012D"/>
    <w:rsid w:val="000B572E"/>
    <w:rsid w:val="000C0CDE"/>
    <w:rsid w:val="000C1108"/>
    <w:rsid w:val="000C1194"/>
    <w:rsid w:val="000C765B"/>
    <w:rsid w:val="000D0ADE"/>
    <w:rsid w:val="000D1008"/>
    <w:rsid w:val="000D63EC"/>
    <w:rsid w:val="000F24A7"/>
    <w:rsid w:val="000F35A0"/>
    <w:rsid w:val="00116FB7"/>
    <w:rsid w:val="00133AA9"/>
    <w:rsid w:val="00134AA0"/>
    <w:rsid w:val="00136ACF"/>
    <w:rsid w:val="0014145D"/>
    <w:rsid w:val="0014424E"/>
    <w:rsid w:val="00154F18"/>
    <w:rsid w:val="0015595D"/>
    <w:rsid w:val="00160D77"/>
    <w:rsid w:val="00181C7C"/>
    <w:rsid w:val="00182FFE"/>
    <w:rsid w:val="00185775"/>
    <w:rsid w:val="001B34BB"/>
    <w:rsid w:val="001C0446"/>
    <w:rsid w:val="001C2857"/>
    <w:rsid w:val="001C69FB"/>
    <w:rsid w:val="001C6F23"/>
    <w:rsid w:val="001D2F77"/>
    <w:rsid w:val="00200B58"/>
    <w:rsid w:val="00227026"/>
    <w:rsid w:val="00232348"/>
    <w:rsid w:val="0023378D"/>
    <w:rsid w:val="002363D6"/>
    <w:rsid w:val="002466B9"/>
    <w:rsid w:val="0026624B"/>
    <w:rsid w:val="00280488"/>
    <w:rsid w:val="0028628A"/>
    <w:rsid w:val="00287554"/>
    <w:rsid w:val="00295529"/>
    <w:rsid w:val="00296A3E"/>
    <w:rsid w:val="00297749"/>
    <w:rsid w:val="002A0B31"/>
    <w:rsid w:val="002C3686"/>
    <w:rsid w:val="002C3715"/>
    <w:rsid w:val="002D41A5"/>
    <w:rsid w:val="002D41E2"/>
    <w:rsid w:val="002D4939"/>
    <w:rsid w:val="002D626C"/>
    <w:rsid w:val="002D6557"/>
    <w:rsid w:val="002E1DF4"/>
    <w:rsid w:val="002E5B9E"/>
    <w:rsid w:val="002F3AFB"/>
    <w:rsid w:val="002F42BE"/>
    <w:rsid w:val="003220C1"/>
    <w:rsid w:val="00327378"/>
    <w:rsid w:val="00336BC4"/>
    <w:rsid w:val="00354D6D"/>
    <w:rsid w:val="00363A00"/>
    <w:rsid w:val="0036681B"/>
    <w:rsid w:val="00367B3F"/>
    <w:rsid w:val="00381819"/>
    <w:rsid w:val="0038220E"/>
    <w:rsid w:val="0038472F"/>
    <w:rsid w:val="003856E2"/>
    <w:rsid w:val="00390CF4"/>
    <w:rsid w:val="0039622C"/>
    <w:rsid w:val="003B3AE6"/>
    <w:rsid w:val="003B59F7"/>
    <w:rsid w:val="003C0632"/>
    <w:rsid w:val="003C0E62"/>
    <w:rsid w:val="003C66D3"/>
    <w:rsid w:val="003E336E"/>
    <w:rsid w:val="003E6A24"/>
    <w:rsid w:val="00417904"/>
    <w:rsid w:val="004203CE"/>
    <w:rsid w:val="00427214"/>
    <w:rsid w:val="0043148E"/>
    <w:rsid w:val="00436130"/>
    <w:rsid w:val="0043686B"/>
    <w:rsid w:val="0045278E"/>
    <w:rsid w:val="00455D63"/>
    <w:rsid w:val="00455E68"/>
    <w:rsid w:val="00460D1C"/>
    <w:rsid w:val="00461651"/>
    <w:rsid w:val="00465A51"/>
    <w:rsid w:val="00475854"/>
    <w:rsid w:val="00485111"/>
    <w:rsid w:val="0049476A"/>
    <w:rsid w:val="00495A09"/>
    <w:rsid w:val="004A5E3A"/>
    <w:rsid w:val="004B3EBC"/>
    <w:rsid w:val="004D1E15"/>
    <w:rsid w:val="004E251E"/>
    <w:rsid w:val="004F1A1E"/>
    <w:rsid w:val="004F1C57"/>
    <w:rsid w:val="004F249D"/>
    <w:rsid w:val="004F3C0F"/>
    <w:rsid w:val="004F3F4F"/>
    <w:rsid w:val="00506701"/>
    <w:rsid w:val="005100DF"/>
    <w:rsid w:val="0051169E"/>
    <w:rsid w:val="00511EC6"/>
    <w:rsid w:val="00541E14"/>
    <w:rsid w:val="005424D2"/>
    <w:rsid w:val="00550909"/>
    <w:rsid w:val="00551E65"/>
    <w:rsid w:val="0056142C"/>
    <w:rsid w:val="00561789"/>
    <w:rsid w:val="005747F7"/>
    <w:rsid w:val="00574D1D"/>
    <w:rsid w:val="00576D7B"/>
    <w:rsid w:val="00580EE6"/>
    <w:rsid w:val="00591E38"/>
    <w:rsid w:val="00596AC5"/>
    <w:rsid w:val="00597559"/>
    <w:rsid w:val="005A4017"/>
    <w:rsid w:val="005B464B"/>
    <w:rsid w:val="005B6CFF"/>
    <w:rsid w:val="005C2D84"/>
    <w:rsid w:val="005E1977"/>
    <w:rsid w:val="005E3145"/>
    <w:rsid w:val="005E5E20"/>
    <w:rsid w:val="005E6D7E"/>
    <w:rsid w:val="005F1D9D"/>
    <w:rsid w:val="006138ED"/>
    <w:rsid w:val="00625BA5"/>
    <w:rsid w:val="006300E7"/>
    <w:rsid w:val="006313DC"/>
    <w:rsid w:val="006339FA"/>
    <w:rsid w:val="00633E2C"/>
    <w:rsid w:val="00640102"/>
    <w:rsid w:val="00655630"/>
    <w:rsid w:val="00655E27"/>
    <w:rsid w:val="00663095"/>
    <w:rsid w:val="00667098"/>
    <w:rsid w:val="00667E1E"/>
    <w:rsid w:val="00684E34"/>
    <w:rsid w:val="0069007F"/>
    <w:rsid w:val="00693515"/>
    <w:rsid w:val="006A556B"/>
    <w:rsid w:val="006A5815"/>
    <w:rsid w:val="006A79E3"/>
    <w:rsid w:val="006B4BAF"/>
    <w:rsid w:val="006B65D4"/>
    <w:rsid w:val="006C3EC2"/>
    <w:rsid w:val="006C52E3"/>
    <w:rsid w:val="006C74B2"/>
    <w:rsid w:val="006C7BF3"/>
    <w:rsid w:val="006D0728"/>
    <w:rsid w:val="006D25FF"/>
    <w:rsid w:val="006D464D"/>
    <w:rsid w:val="006F0227"/>
    <w:rsid w:val="006F6A03"/>
    <w:rsid w:val="007037F1"/>
    <w:rsid w:val="00720F6C"/>
    <w:rsid w:val="00722D73"/>
    <w:rsid w:val="00731AAA"/>
    <w:rsid w:val="007344EF"/>
    <w:rsid w:val="00734FAC"/>
    <w:rsid w:val="00737F8F"/>
    <w:rsid w:val="00740BA7"/>
    <w:rsid w:val="007421C3"/>
    <w:rsid w:val="007520EE"/>
    <w:rsid w:val="00752FDC"/>
    <w:rsid w:val="007576FF"/>
    <w:rsid w:val="00760162"/>
    <w:rsid w:val="0076466C"/>
    <w:rsid w:val="00764B85"/>
    <w:rsid w:val="00764C95"/>
    <w:rsid w:val="00781E9F"/>
    <w:rsid w:val="0078686C"/>
    <w:rsid w:val="00787948"/>
    <w:rsid w:val="00794DED"/>
    <w:rsid w:val="007A4C0E"/>
    <w:rsid w:val="007A5767"/>
    <w:rsid w:val="007A7EB5"/>
    <w:rsid w:val="007C40C7"/>
    <w:rsid w:val="007C4498"/>
    <w:rsid w:val="007D1355"/>
    <w:rsid w:val="007D5B3C"/>
    <w:rsid w:val="007D70F5"/>
    <w:rsid w:val="007D760C"/>
    <w:rsid w:val="007E34A4"/>
    <w:rsid w:val="007E6F19"/>
    <w:rsid w:val="007F0EC2"/>
    <w:rsid w:val="0080221F"/>
    <w:rsid w:val="00820AFF"/>
    <w:rsid w:val="008235A0"/>
    <w:rsid w:val="00823B01"/>
    <w:rsid w:val="00825937"/>
    <w:rsid w:val="008275A6"/>
    <w:rsid w:val="008302CE"/>
    <w:rsid w:val="00830467"/>
    <w:rsid w:val="00832B4A"/>
    <w:rsid w:val="00834545"/>
    <w:rsid w:val="00842542"/>
    <w:rsid w:val="00844FA0"/>
    <w:rsid w:val="00846A3E"/>
    <w:rsid w:val="00850BC2"/>
    <w:rsid w:val="00851D46"/>
    <w:rsid w:val="00853093"/>
    <w:rsid w:val="0086224B"/>
    <w:rsid w:val="008624EC"/>
    <w:rsid w:val="008755F1"/>
    <w:rsid w:val="00877AE2"/>
    <w:rsid w:val="00877EAF"/>
    <w:rsid w:val="008961AD"/>
    <w:rsid w:val="008A2C12"/>
    <w:rsid w:val="008A7092"/>
    <w:rsid w:val="008A76E4"/>
    <w:rsid w:val="008B208B"/>
    <w:rsid w:val="008C194F"/>
    <w:rsid w:val="008C52CA"/>
    <w:rsid w:val="008D28A9"/>
    <w:rsid w:val="008D50E4"/>
    <w:rsid w:val="008E16E5"/>
    <w:rsid w:val="008E35B7"/>
    <w:rsid w:val="008E7121"/>
    <w:rsid w:val="008F22FD"/>
    <w:rsid w:val="008F2F33"/>
    <w:rsid w:val="008F3E2E"/>
    <w:rsid w:val="00900113"/>
    <w:rsid w:val="00905FC2"/>
    <w:rsid w:val="00911CCC"/>
    <w:rsid w:val="0091605A"/>
    <w:rsid w:val="00923F14"/>
    <w:rsid w:val="0092574C"/>
    <w:rsid w:val="00932E83"/>
    <w:rsid w:val="00934146"/>
    <w:rsid w:val="00940E45"/>
    <w:rsid w:val="009425C7"/>
    <w:rsid w:val="009835CF"/>
    <w:rsid w:val="00985A2C"/>
    <w:rsid w:val="0098666C"/>
    <w:rsid w:val="009A001A"/>
    <w:rsid w:val="009A27B2"/>
    <w:rsid w:val="009A30B1"/>
    <w:rsid w:val="009A4A26"/>
    <w:rsid w:val="009B4101"/>
    <w:rsid w:val="009C269E"/>
    <w:rsid w:val="009D6D50"/>
    <w:rsid w:val="00A05B2D"/>
    <w:rsid w:val="00A150D4"/>
    <w:rsid w:val="00A2045C"/>
    <w:rsid w:val="00A21440"/>
    <w:rsid w:val="00A27838"/>
    <w:rsid w:val="00A37F67"/>
    <w:rsid w:val="00A4410D"/>
    <w:rsid w:val="00A46BBD"/>
    <w:rsid w:val="00A47CBC"/>
    <w:rsid w:val="00A56611"/>
    <w:rsid w:val="00A72F45"/>
    <w:rsid w:val="00A80277"/>
    <w:rsid w:val="00A95352"/>
    <w:rsid w:val="00AA3704"/>
    <w:rsid w:val="00AB319F"/>
    <w:rsid w:val="00AC0A38"/>
    <w:rsid w:val="00AC185E"/>
    <w:rsid w:val="00AC21B8"/>
    <w:rsid w:val="00AD014F"/>
    <w:rsid w:val="00AD2B1A"/>
    <w:rsid w:val="00AD2C86"/>
    <w:rsid w:val="00AD2DD2"/>
    <w:rsid w:val="00AD57D2"/>
    <w:rsid w:val="00AD70B1"/>
    <w:rsid w:val="00AE1096"/>
    <w:rsid w:val="00AE526F"/>
    <w:rsid w:val="00AE6B13"/>
    <w:rsid w:val="00AE6D5E"/>
    <w:rsid w:val="00AF5251"/>
    <w:rsid w:val="00AF5BA9"/>
    <w:rsid w:val="00B007F4"/>
    <w:rsid w:val="00B03B98"/>
    <w:rsid w:val="00B05AFB"/>
    <w:rsid w:val="00B16B1C"/>
    <w:rsid w:val="00B467BC"/>
    <w:rsid w:val="00B53832"/>
    <w:rsid w:val="00B5423A"/>
    <w:rsid w:val="00B567EA"/>
    <w:rsid w:val="00B66612"/>
    <w:rsid w:val="00B848AD"/>
    <w:rsid w:val="00B8547B"/>
    <w:rsid w:val="00BA399D"/>
    <w:rsid w:val="00BA587A"/>
    <w:rsid w:val="00BB5679"/>
    <w:rsid w:val="00BC7354"/>
    <w:rsid w:val="00BF0C80"/>
    <w:rsid w:val="00BF1A96"/>
    <w:rsid w:val="00BF3E1F"/>
    <w:rsid w:val="00C1541C"/>
    <w:rsid w:val="00C2006A"/>
    <w:rsid w:val="00C2151F"/>
    <w:rsid w:val="00C24DA0"/>
    <w:rsid w:val="00C301C1"/>
    <w:rsid w:val="00C30A73"/>
    <w:rsid w:val="00C319A0"/>
    <w:rsid w:val="00C32A1A"/>
    <w:rsid w:val="00C33F4C"/>
    <w:rsid w:val="00C3497E"/>
    <w:rsid w:val="00C34CBE"/>
    <w:rsid w:val="00C36AD7"/>
    <w:rsid w:val="00C43F05"/>
    <w:rsid w:val="00C441BA"/>
    <w:rsid w:val="00C634E3"/>
    <w:rsid w:val="00C741CF"/>
    <w:rsid w:val="00C80B3D"/>
    <w:rsid w:val="00C81671"/>
    <w:rsid w:val="00C92871"/>
    <w:rsid w:val="00C95BAE"/>
    <w:rsid w:val="00CA41A2"/>
    <w:rsid w:val="00CA429F"/>
    <w:rsid w:val="00CB044B"/>
    <w:rsid w:val="00CC536E"/>
    <w:rsid w:val="00CD1E1A"/>
    <w:rsid w:val="00CD77FC"/>
    <w:rsid w:val="00CE192E"/>
    <w:rsid w:val="00CE3807"/>
    <w:rsid w:val="00CF0665"/>
    <w:rsid w:val="00D015EE"/>
    <w:rsid w:val="00D1125C"/>
    <w:rsid w:val="00D119F8"/>
    <w:rsid w:val="00D27223"/>
    <w:rsid w:val="00D47055"/>
    <w:rsid w:val="00D47F52"/>
    <w:rsid w:val="00D505B8"/>
    <w:rsid w:val="00D647DE"/>
    <w:rsid w:val="00D75737"/>
    <w:rsid w:val="00D83244"/>
    <w:rsid w:val="00D956CF"/>
    <w:rsid w:val="00D97F2E"/>
    <w:rsid w:val="00DA0B94"/>
    <w:rsid w:val="00DA692A"/>
    <w:rsid w:val="00DA6F4F"/>
    <w:rsid w:val="00DB0833"/>
    <w:rsid w:val="00DB2BB7"/>
    <w:rsid w:val="00DB473F"/>
    <w:rsid w:val="00DC368D"/>
    <w:rsid w:val="00DE290D"/>
    <w:rsid w:val="00DE5DB9"/>
    <w:rsid w:val="00DF5B37"/>
    <w:rsid w:val="00DF5C12"/>
    <w:rsid w:val="00DF68AC"/>
    <w:rsid w:val="00E03628"/>
    <w:rsid w:val="00E03A02"/>
    <w:rsid w:val="00E2206C"/>
    <w:rsid w:val="00E22C78"/>
    <w:rsid w:val="00E26759"/>
    <w:rsid w:val="00E32290"/>
    <w:rsid w:val="00E441F6"/>
    <w:rsid w:val="00E56A80"/>
    <w:rsid w:val="00E8246A"/>
    <w:rsid w:val="00E853D7"/>
    <w:rsid w:val="00EA2119"/>
    <w:rsid w:val="00EB4827"/>
    <w:rsid w:val="00EC3C8C"/>
    <w:rsid w:val="00EC5D6E"/>
    <w:rsid w:val="00EC6625"/>
    <w:rsid w:val="00ED554B"/>
    <w:rsid w:val="00ED6397"/>
    <w:rsid w:val="00EE26FF"/>
    <w:rsid w:val="00EE5132"/>
    <w:rsid w:val="00EF2DE6"/>
    <w:rsid w:val="00EF466D"/>
    <w:rsid w:val="00F07CB2"/>
    <w:rsid w:val="00F11064"/>
    <w:rsid w:val="00F203AF"/>
    <w:rsid w:val="00F20E9A"/>
    <w:rsid w:val="00F22540"/>
    <w:rsid w:val="00F23D8F"/>
    <w:rsid w:val="00F25E8F"/>
    <w:rsid w:val="00F307B5"/>
    <w:rsid w:val="00F319D2"/>
    <w:rsid w:val="00F322DE"/>
    <w:rsid w:val="00F52EC9"/>
    <w:rsid w:val="00F55C57"/>
    <w:rsid w:val="00F657F3"/>
    <w:rsid w:val="00F71A84"/>
    <w:rsid w:val="00F748D2"/>
    <w:rsid w:val="00F80982"/>
    <w:rsid w:val="00F9446A"/>
    <w:rsid w:val="00FA1F25"/>
    <w:rsid w:val="00FA3BAC"/>
    <w:rsid w:val="00FA6130"/>
    <w:rsid w:val="00FB3CFD"/>
    <w:rsid w:val="00FC08FB"/>
    <w:rsid w:val="00FC26D7"/>
    <w:rsid w:val="00FD289B"/>
    <w:rsid w:val="00FE4272"/>
    <w:rsid w:val="00FF0D99"/>
    <w:rsid w:val="00FF47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3A204AA"/>
  <w15:chartTrackingRefBased/>
  <w15:docId w15:val="{AE2E612B-C898-42F4-9CF2-1E7012D1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pPr>
      <w:keepNext/>
      <w:jc w:val="center"/>
      <w:outlineLvl w:val="3"/>
    </w:pPr>
    <w:rPr>
      <w:rFonts w:ascii="Trebuchet MS" w:hAnsi="Trebuchet MS" w:cs="Trebuchet MS"/>
      <w:b/>
      <w:bCs/>
      <w:sz w:val="22"/>
    </w:rPr>
  </w:style>
  <w:style w:type="paragraph" w:styleId="Ttulo5">
    <w:name w:val="heading 5"/>
    <w:basedOn w:val="Normal"/>
    <w:next w:val="Normal"/>
    <w:qFormat/>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Helvetica"/>
      <w:color w:val="000000"/>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8Num6z0">
    <w:name w:val="WW8Num6z0"/>
    <w:rPr>
      <w:rFonts w:ascii="Times New Roman" w:eastAsia="Times New Roman" w:hAnsi="Times New Roman" w:cs="Times New Roman"/>
    </w:rPr>
  </w:style>
  <w:style w:type="character" w:customStyle="1" w:styleId="WW-Absatz-Standardschriftart">
    <w:name w:val="WW-Absatz-Standardschriftart"/>
  </w:style>
  <w:style w:type="character" w:customStyle="1" w:styleId="WW8Num3z0">
    <w:name w:val="WW8Num3z0"/>
    <w:rPr>
      <w:rFonts w:ascii="Helvetica" w:hAnsi="Helvetica" w:cs="Helvetica"/>
      <w:color w:val="00000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ahoma" w:hAnsi="Tahoma" w:cs="Tahoma"/>
      <w:sz w:val="22"/>
    </w:rPr>
  </w:style>
  <w:style w:type="character" w:customStyle="1" w:styleId="Fuentedeprrafopredeter2">
    <w:name w:val="Fuente de párrafo predeter.2"/>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rFonts w:ascii="Arial" w:hAnsi="Arial" w:cs="Arial"/>
      <w:color w:val="000000"/>
    </w:rPr>
  </w:style>
  <w:style w:type="character" w:customStyle="1" w:styleId="WW8Num18z0">
    <w:name w:val="WW8Num18z0"/>
    <w:rPr>
      <w:rFonts w:ascii="Helvetica" w:eastAsia="Times New Roman" w:hAnsi="Helvetica" w:cs="Helvetic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sz w:val="22"/>
    </w:rPr>
  </w:style>
  <w:style w:type="character" w:customStyle="1" w:styleId="WW8Num23z0">
    <w:name w:val="WW8Num23z0"/>
    <w:rPr>
      <w:rFonts w:ascii="Arial" w:eastAsia="PMingLiU"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sz w:val="24"/>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Car Car"/>
    <w:rPr>
      <w:rFonts w:ascii="Arial" w:hAnsi="Arial" w:cs="Arial"/>
      <w:b/>
      <w:color w:val="000000"/>
      <w:sz w:val="22"/>
      <w:lang w:val="es-ES_tradnl" w:bidi="ar-SA"/>
    </w:rPr>
  </w:style>
  <w:style w:type="character" w:customStyle="1" w:styleId="CarCar0">
    <w:name w:val="Car Car"/>
    <w:rPr>
      <w:rFonts w:ascii="Arial" w:hAnsi="Arial" w:cs="Arial"/>
      <w:b/>
      <w:color w:val="000000"/>
      <w:sz w:val="22"/>
      <w:lang w:val="es-ES_tradnl" w:bidi="ar-SA"/>
    </w:rPr>
  </w:style>
  <w:style w:type="character" w:customStyle="1" w:styleId="TextoindependienteCar">
    <w:name w:val="Texto independiente Car"/>
    <w:rPr>
      <w:rFonts w:ascii="Tahoma" w:hAnsi="Tahoma" w:cs="Tahoma"/>
      <w:sz w:val="26"/>
      <w:lang w:val="es-ES_tradnl" w:bidi="ar-SA"/>
    </w:rPr>
  </w:style>
  <w:style w:type="character" w:styleId="Hipervnculo">
    <w:name w:val="Hyperlink"/>
    <w:rPr>
      <w:color w:val="000080"/>
      <w:u w:val="single"/>
    </w:rPr>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widowControl w:val="0"/>
      <w:autoSpaceDE w:val="0"/>
      <w:jc w:val="both"/>
    </w:pPr>
    <w:rPr>
      <w:rFonts w:ascii="Tahoma" w:hAnsi="Tahoma" w:cs="Tahoma"/>
      <w:sz w:val="26"/>
      <w:lang w:val="es-ES_tradnl"/>
    </w:rPr>
  </w:style>
  <w:style w:type="paragraph" w:styleId="Lista">
    <w:name w:val="List"/>
    <w:basedOn w:val="Textoindependiente"/>
  </w:style>
  <w:style w:type="paragraph" w:customStyle="1" w:styleId="Epgrafe">
    <w:name w:val="Epígrafe"/>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rPr>
      <w:lang w:val="x-none"/>
    </w:rPr>
  </w:style>
  <w:style w:type="paragraph" w:styleId="Textodeglobo">
    <w:name w:val="Balloon Text"/>
    <w:basedOn w:val="Normal"/>
    <w:rPr>
      <w:rFonts w:ascii="Tahoma" w:hAnsi="Tahoma" w:cs="Tahoma"/>
      <w:sz w:val="16"/>
      <w:szCs w:val="16"/>
    </w:rPr>
  </w:style>
  <w:style w:type="paragraph" w:customStyle="1" w:styleId="Textoindependiente21">
    <w:name w:val="Texto independiente 21"/>
    <w:basedOn w:val="Normal"/>
    <w:rPr>
      <w:rFonts w:ascii="Arial" w:hAnsi="Arial" w:cs="Arial"/>
      <w:sz w:val="24"/>
      <w:lang w:val="es-ES_tradnl"/>
    </w:rPr>
  </w:style>
  <w:style w:type="paragraph" w:customStyle="1" w:styleId="WW-NormalWeb">
    <w:name w:val="WW-Normal (Web)"/>
    <w:basedOn w:val="Normal"/>
    <w:pPr>
      <w:widowControl w:val="0"/>
      <w:autoSpaceDE w:val="0"/>
      <w:spacing w:before="100"/>
      <w:jc w:val="both"/>
    </w:pPr>
    <w:rPr>
      <w:lang w:val="es-ES_tradnl"/>
    </w:rPr>
  </w:style>
  <w:style w:type="paragraph" w:customStyle="1" w:styleId="Encabezado1">
    <w:name w:val="Encabezado1"/>
    <w:basedOn w:val="Normal"/>
    <w:next w:val="Textoindependiente"/>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pPr>
      <w:jc w:val="center"/>
    </w:pPr>
    <w:rPr>
      <w:rFonts w:ascii="Arial" w:hAnsi="Arial" w:cs="Arial"/>
      <w:b/>
      <w:sz w:val="28"/>
      <w:szCs w:val="24"/>
      <w:lang w:val="es-ES"/>
    </w:rPr>
  </w:style>
  <w:style w:type="paragraph" w:customStyle="1" w:styleId="CUERPOTEXTO">
    <w:name w:val="CUERPO TEXTO"/>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customStyle="1" w:styleId="Listavistosa-nfasis11">
    <w:name w:val="Lista vistosa - Énfasis 11"/>
    <w:basedOn w:val="Normal"/>
    <w:uiPriority w:val="34"/>
    <w:qFormat/>
    <w:pPr>
      <w:ind w:left="708"/>
    </w:pPr>
  </w:style>
  <w:style w:type="paragraph" w:customStyle="1" w:styleId="Contenidodelmarco">
    <w:name w:val="Contenido del marco"/>
    <w:basedOn w:val="Textoindependiente"/>
  </w:style>
  <w:style w:type="paragraph" w:customStyle="1" w:styleId="Normal1">
    <w:name w:val="Normal1"/>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FontStyle786">
    <w:name w:val="Font Style786"/>
    <w:rsid w:val="0038472F"/>
    <w:rPr>
      <w:rFonts w:ascii="Arial" w:hAnsi="Arial" w:cs="Arial"/>
      <w:sz w:val="20"/>
      <w:szCs w:val="20"/>
    </w:rPr>
  </w:style>
  <w:style w:type="paragraph" w:customStyle="1" w:styleId="Style447">
    <w:name w:val="Style447"/>
    <w:basedOn w:val="Normal"/>
    <w:rsid w:val="0038472F"/>
    <w:pPr>
      <w:widowControl w:val="0"/>
      <w:suppressAutoHyphens w:val="0"/>
      <w:autoSpaceDE w:val="0"/>
      <w:autoSpaceDN w:val="0"/>
      <w:adjustRightInd w:val="0"/>
    </w:pPr>
    <w:rPr>
      <w:rFonts w:ascii="Arial" w:hAnsi="Arial" w:cs="Arial"/>
      <w:sz w:val="24"/>
      <w:szCs w:val="24"/>
      <w:lang w:val="es-ES" w:eastAsia="es-ES"/>
    </w:rPr>
  </w:style>
  <w:style w:type="paragraph" w:customStyle="1" w:styleId="Style427">
    <w:name w:val="Style427"/>
    <w:basedOn w:val="Normal"/>
    <w:rsid w:val="0038472F"/>
    <w:pPr>
      <w:widowControl w:val="0"/>
      <w:suppressAutoHyphens w:val="0"/>
      <w:autoSpaceDE w:val="0"/>
      <w:autoSpaceDN w:val="0"/>
      <w:adjustRightInd w:val="0"/>
      <w:spacing w:line="276" w:lineRule="exact"/>
      <w:jc w:val="both"/>
    </w:pPr>
    <w:rPr>
      <w:rFonts w:ascii="Arial" w:hAnsi="Arial" w:cs="Arial"/>
      <w:sz w:val="24"/>
      <w:szCs w:val="24"/>
      <w:lang w:val="es-ES" w:eastAsia="es-ES"/>
    </w:rPr>
  </w:style>
  <w:style w:type="paragraph" w:styleId="Textoindependiente2">
    <w:name w:val="Body Text 2"/>
    <w:basedOn w:val="Normal"/>
    <w:link w:val="Textoindependiente2Car"/>
    <w:uiPriority w:val="99"/>
    <w:semiHidden/>
    <w:unhideWhenUsed/>
    <w:rsid w:val="0038472F"/>
    <w:pPr>
      <w:spacing w:after="120" w:line="480" w:lineRule="auto"/>
    </w:pPr>
    <w:rPr>
      <w:lang w:val="x-none"/>
    </w:rPr>
  </w:style>
  <w:style w:type="character" w:customStyle="1" w:styleId="Textoindependiente2Car">
    <w:name w:val="Texto independiente 2 Car"/>
    <w:link w:val="Textoindependiente2"/>
    <w:uiPriority w:val="99"/>
    <w:semiHidden/>
    <w:rsid w:val="0038472F"/>
    <w:rPr>
      <w:lang w:eastAsia="zh-CN"/>
    </w:rPr>
  </w:style>
  <w:style w:type="character" w:customStyle="1" w:styleId="PiedepginaCar">
    <w:name w:val="Pie de página Car"/>
    <w:link w:val="Piedepgina"/>
    <w:locked/>
    <w:rsid w:val="0038472F"/>
    <w:rPr>
      <w:lang w:eastAsia="zh-CN"/>
    </w:rPr>
  </w:style>
  <w:style w:type="paragraph" w:styleId="Prrafodelista">
    <w:name w:val="List Paragraph"/>
    <w:basedOn w:val="Normal"/>
    <w:uiPriority w:val="34"/>
    <w:qFormat/>
    <w:rsid w:val="00820AFF"/>
    <w:pPr>
      <w:ind w:left="708"/>
    </w:pPr>
  </w:style>
  <w:style w:type="paragraph" w:styleId="NormalWeb">
    <w:name w:val="Normal (Web)"/>
    <w:basedOn w:val="Normal"/>
    <w:uiPriority w:val="99"/>
    <w:unhideWhenUsed/>
    <w:rsid w:val="00B8547B"/>
    <w:pPr>
      <w:suppressAutoHyphens w:val="0"/>
      <w:spacing w:before="100" w:beforeAutospacing="1" w:after="100" w:afterAutospacing="1"/>
    </w:pPr>
    <w:rPr>
      <w:sz w:val="24"/>
      <w:szCs w:val="24"/>
      <w:lang w:val="es-ES" w:eastAsia="es-ES"/>
    </w:rPr>
  </w:style>
  <w:style w:type="character" w:customStyle="1" w:styleId="EncabezadoCar">
    <w:name w:val="Encabezado Car"/>
    <w:link w:val="Encabezado"/>
    <w:uiPriority w:val="99"/>
    <w:rsid w:val="001D2F7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3663">
      <w:bodyDiv w:val="1"/>
      <w:marLeft w:val="0"/>
      <w:marRight w:val="0"/>
      <w:marTop w:val="0"/>
      <w:marBottom w:val="0"/>
      <w:divBdr>
        <w:top w:val="none" w:sz="0" w:space="0" w:color="auto"/>
        <w:left w:val="none" w:sz="0" w:space="0" w:color="auto"/>
        <w:bottom w:val="none" w:sz="0" w:space="0" w:color="auto"/>
        <w:right w:val="none" w:sz="0" w:space="0" w:color="auto"/>
      </w:divBdr>
    </w:div>
    <w:div w:id="174732341">
      <w:bodyDiv w:val="1"/>
      <w:marLeft w:val="0"/>
      <w:marRight w:val="0"/>
      <w:marTop w:val="0"/>
      <w:marBottom w:val="0"/>
      <w:divBdr>
        <w:top w:val="none" w:sz="0" w:space="0" w:color="auto"/>
        <w:left w:val="none" w:sz="0" w:space="0" w:color="auto"/>
        <w:bottom w:val="none" w:sz="0" w:space="0" w:color="auto"/>
        <w:right w:val="none" w:sz="0" w:space="0" w:color="auto"/>
      </w:divBdr>
    </w:div>
    <w:div w:id="376197347">
      <w:bodyDiv w:val="1"/>
      <w:marLeft w:val="0"/>
      <w:marRight w:val="0"/>
      <w:marTop w:val="0"/>
      <w:marBottom w:val="0"/>
      <w:divBdr>
        <w:top w:val="none" w:sz="0" w:space="0" w:color="auto"/>
        <w:left w:val="none" w:sz="0" w:space="0" w:color="auto"/>
        <w:bottom w:val="none" w:sz="0" w:space="0" w:color="auto"/>
        <w:right w:val="none" w:sz="0" w:space="0" w:color="auto"/>
      </w:divBdr>
    </w:div>
    <w:div w:id="376244475">
      <w:bodyDiv w:val="1"/>
      <w:marLeft w:val="0"/>
      <w:marRight w:val="0"/>
      <w:marTop w:val="0"/>
      <w:marBottom w:val="0"/>
      <w:divBdr>
        <w:top w:val="none" w:sz="0" w:space="0" w:color="auto"/>
        <w:left w:val="none" w:sz="0" w:space="0" w:color="auto"/>
        <w:bottom w:val="none" w:sz="0" w:space="0" w:color="auto"/>
        <w:right w:val="none" w:sz="0" w:space="0" w:color="auto"/>
      </w:divBdr>
    </w:div>
    <w:div w:id="844514637">
      <w:bodyDiv w:val="1"/>
      <w:marLeft w:val="0"/>
      <w:marRight w:val="0"/>
      <w:marTop w:val="0"/>
      <w:marBottom w:val="0"/>
      <w:divBdr>
        <w:top w:val="none" w:sz="0" w:space="0" w:color="auto"/>
        <w:left w:val="none" w:sz="0" w:space="0" w:color="auto"/>
        <w:bottom w:val="none" w:sz="0" w:space="0" w:color="auto"/>
        <w:right w:val="none" w:sz="0" w:space="0" w:color="auto"/>
      </w:divBdr>
    </w:div>
    <w:div w:id="870730039">
      <w:bodyDiv w:val="1"/>
      <w:marLeft w:val="0"/>
      <w:marRight w:val="0"/>
      <w:marTop w:val="0"/>
      <w:marBottom w:val="0"/>
      <w:divBdr>
        <w:top w:val="none" w:sz="0" w:space="0" w:color="auto"/>
        <w:left w:val="none" w:sz="0" w:space="0" w:color="auto"/>
        <w:bottom w:val="none" w:sz="0" w:space="0" w:color="auto"/>
        <w:right w:val="none" w:sz="0" w:space="0" w:color="auto"/>
      </w:divBdr>
    </w:div>
    <w:div w:id="999776001">
      <w:bodyDiv w:val="1"/>
      <w:marLeft w:val="0"/>
      <w:marRight w:val="0"/>
      <w:marTop w:val="0"/>
      <w:marBottom w:val="0"/>
      <w:divBdr>
        <w:top w:val="none" w:sz="0" w:space="0" w:color="auto"/>
        <w:left w:val="none" w:sz="0" w:space="0" w:color="auto"/>
        <w:bottom w:val="none" w:sz="0" w:space="0" w:color="auto"/>
        <w:right w:val="none" w:sz="0" w:space="0" w:color="auto"/>
      </w:divBdr>
    </w:div>
    <w:div w:id="1134106336">
      <w:bodyDiv w:val="1"/>
      <w:marLeft w:val="0"/>
      <w:marRight w:val="0"/>
      <w:marTop w:val="0"/>
      <w:marBottom w:val="0"/>
      <w:divBdr>
        <w:top w:val="none" w:sz="0" w:space="0" w:color="auto"/>
        <w:left w:val="none" w:sz="0" w:space="0" w:color="auto"/>
        <w:bottom w:val="none" w:sz="0" w:space="0" w:color="auto"/>
        <w:right w:val="none" w:sz="0" w:space="0" w:color="auto"/>
      </w:divBdr>
    </w:div>
    <w:div w:id="1380086234">
      <w:bodyDiv w:val="1"/>
      <w:marLeft w:val="0"/>
      <w:marRight w:val="0"/>
      <w:marTop w:val="0"/>
      <w:marBottom w:val="0"/>
      <w:divBdr>
        <w:top w:val="none" w:sz="0" w:space="0" w:color="auto"/>
        <w:left w:val="none" w:sz="0" w:space="0" w:color="auto"/>
        <w:bottom w:val="none" w:sz="0" w:space="0" w:color="auto"/>
        <w:right w:val="none" w:sz="0" w:space="0" w:color="auto"/>
      </w:divBdr>
    </w:div>
    <w:div w:id="14448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2066</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13404</CharactersWithSpaces>
  <SharedDoc>false</SharedDoc>
  <HLinks>
    <vt:vector size="6" baseType="variant">
      <vt:variant>
        <vt:i4>786515</vt:i4>
      </vt:variant>
      <vt:variant>
        <vt:i4>0</vt:i4>
      </vt:variant>
      <vt:variant>
        <vt:i4>0</vt:i4>
      </vt:variant>
      <vt:variant>
        <vt:i4>5</vt:i4>
      </vt:variant>
      <vt:variant>
        <vt:lpwstr>http://www.imprenta.gov.co/diariop/diario2.pdf?p_tipo=03&amp;p_numero=00001841&amp;p_fecha=28/05/2013&amp;p_consec=1322977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Maria Isabel Zapata Cardona</cp:lastModifiedBy>
  <cp:revision>6</cp:revision>
  <cp:lastPrinted>2016-05-13T16:26:00Z</cp:lastPrinted>
  <dcterms:created xsi:type="dcterms:W3CDTF">2020-09-25T20:22:00Z</dcterms:created>
  <dcterms:modified xsi:type="dcterms:W3CDTF">2020-09-29T21:33:00Z</dcterms:modified>
</cp:coreProperties>
</file>