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786B34" w:rsidRPr="00AD27EB" w:rsidRDefault="00F807DE" w:rsidP="00786B34">
      <w:pPr>
        <w:jc w:val="both"/>
        <w:rPr>
          <w:rFonts w:cs="Arial"/>
          <w:sz w:val="24"/>
          <w:szCs w:val="24"/>
        </w:rPr>
      </w:pPr>
      <w:bookmarkStart w:id="0" w:name="_Hlk64471539"/>
      <w:bookmarkStart w:id="1" w:name="_GoBack"/>
      <w:bookmarkEnd w:id="1"/>
    </w:p>
    <w:p w14:paraId="13464ED4" w14:textId="77777777" w:rsidR="00786B34" w:rsidRPr="00AD27EB" w:rsidRDefault="00F807DE" w:rsidP="00786B34">
      <w:pPr>
        <w:suppressAutoHyphens w:val="0"/>
        <w:jc w:val="center"/>
        <w:rPr>
          <w:rFonts w:cs="Arial"/>
          <w:b/>
          <w:bCs/>
          <w:sz w:val="24"/>
          <w:szCs w:val="24"/>
          <w:lang w:val="es-ES" w:eastAsia="es-ES"/>
        </w:rPr>
      </w:pPr>
    </w:p>
    <w:p w14:paraId="0B4AE7E5" w14:textId="6B47B746" w:rsidR="00786B34" w:rsidRPr="00AD27EB" w:rsidRDefault="00842059" w:rsidP="00786B34">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BB6CE5" w:rsidRPr="00613A11">
        <w:rPr>
          <w:rFonts w:cs="Arial"/>
          <w:b/>
          <w:noProof/>
          <w:sz w:val="24"/>
          <w:szCs w:val="24"/>
          <w:highlight w:val="green"/>
          <w:lang w:val="es-MX"/>
        </w:rPr>
        <w:t>YENY ANEIDER  RIOS  ALZATE</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proofErr w:type="spellStart"/>
      <w:r>
        <w:rPr>
          <w:rFonts w:cs="Arial"/>
          <w:sz w:val="24"/>
          <w:szCs w:val="24"/>
          <w:lang w:val="es-MX"/>
        </w:rPr>
        <w:t>N°</w:t>
      </w:r>
      <w:proofErr w:type="spellEnd"/>
      <w:r>
        <w:rPr>
          <w:rFonts w:cs="Arial"/>
          <w:sz w:val="24"/>
          <w:szCs w:val="24"/>
          <w:lang w:val="es-MX"/>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BB6CE5" w:rsidRPr="00613A11">
        <w:rPr>
          <w:rFonts w:cs="Arial"/>
          <w:noProof/>
          <w:sz w:val="24"/>
          <w:szCs w:val="24"/>
          <w:highlight w:val="yellow"/>
          <w:lang w:val="es-MX"/>
        </w:rPr>
        <w:t>120</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786B34" w:rsidRPr="00AD27EB" w:rsidRDefault="00F807DE" w:rsidP="00786B34">
      <w:pPr>
        <w:jc w:val="both"/>
        <w:rPr>
          <w:rFonts w:cs="Arial"/>
          <w:sz w:val="24"/>
          <w:szCs w:val="24"/>
          <w:lang w:val="es-MX"/>
        </w:rPr>
      </w:pPr>
    </w:p>
    <w:p w14:paraId="7B43ECBC" w14:textId="77777777" w:rsidR="00786B34" w:rsidRPr="00AD27EB" w:rsidRDefault="00F807DE" w:rsidP="00786B34">
      <w:pPr>
        <w:pStyle w:val="Default"/>
        <w:rPr>
          <w:color w:val="auto"/>
        </w:rPr>
      </w:pPr>
    </w:p>
    <w:p w14:paraId="77DDE8CC" w14:textId="77777777" w:rsidR="00786B34" w:rsidRPr="00AD27EB" w:rsidRDefault="00842059" w:rsidP="00786B34">
      <w:pPr>
        <w:pStyle w:val="Default"/>
        <w:jc w:val="center"/>
        <w:rPr>
          <w:b/>
          <w:bCs/>
          <w:color w:val="auto"/>
          <w:u w:val="single"/>
        </w:rPr>
      </w:pPr>
      <w:r w:rsidRPr="00AD27EB">
        <w:rPr>
          <w:b/>
          <w:bCs/>
          <w:color w:val="auto"/>
          <w:u w:val="single"/>
        </w:rPr>
        <w:t>I. IDENTIFICACIÓN DE LAS PARTES</w:t>
      </w:r>
    </w:p>
    <w:p w14:paraId="1738C7BB" w14:textId="77777777" w:rsidR="00786B34" w:rsidRPr="00AD27EB" w:rsidRDefault="00F807DE" w:rsidP="00786B34">
      <w:pPr>
        <w:pStyle w:val="Default"/>
        <w:jc w:val="center"/>
        <w:rPr>
          <w:color w:val="auto"/>
          <w:u w:val="single"/>
        </w:rPr>
      </w:pPr>
    </w:p>
    <w:p w14:paraId="785320E1" w14:textId="399DC794" w:rsidR="00786B34" w:rsidRPr="00AD27EB" w:rsidRDefault="00842059" w:rsidP="00786B34">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786B34" w:rsidRPr="00AD27EB" w:rsidRDefault="00842059" w:rsidP="00786B34">
      <w:pPr>
        <w:pStyle w:val="Default"/>
        <w:jc w:val="both"/>
        <w:rPr>
          <w:color w:val="auto"/>
        </w:rPr>
      </w:pPr>
      <w:r w:rsidRPr="00AD27EB">
        <w:rPr>
          <w:color w:val="auto"/>
        </w:rPr>
        <w:tab/>
      </w:r>
    </w:p>
    <w:p w14:paraId="2120B6EB" w14:textId="76D02B75" w:rsidR="00786B34" w:rsidRPr="00AD27EB" w:rsidRDefault="00842059" w:rsidP="00786B34">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BB6CE5" w:rsidRPr="00613A11">
        <w:rPr>
          <w:bCs/>
          <w:noProof/>
          <w:highlight w:val="green"/>
        </w:rPr>
        <w:t>YENY ANEIDER  RIOS  ALZATE</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BB6CE5" w:rsidRPr="00613A11">
        <w:rPr>
          <w:noProof/>
          <w:highlight w:val="magenta"/>
        </w:rPr>
        <w:t>42019417</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786B34" w:rsidRPr="00AD27EB" w:rsidRDefault="00F807DE" w:rsidP="00786B34">
      <w:pPr>
        <w:suppressAutoHyphens w:val="0"/>
        <w:rPr>
          <w:rFonts w:cs="Arial"/>
          <w:b/>
          <w:bCs/>
          <w:sz w:val="24"/>
          <w:szCs w:val="24"/>
          <w:lang w:val="es-ES" w:eastAsia="es-ES"/>
        </w:rPr>
      </w:pPr>
    </w:p>
    <w:p w14:paraId="0FCDAB6C" w14:textId="77777777" w:rsidR="00786B34" w:rsidRPr="00AD27EB" w:rsidRDefault="00F807DE" w:rsidP="00786B34">
      <w:pPr>
        <w:suppressAutoHyphens w:val="0"/>
        <w:jc w:val="both"/>
        <w:rPr>
          <w:rFonts w:cs="Arial"/>
          <w:b/>
          <w:bCs/>
          <w:sz w:val="24"/>
          <w:szCs w:val="24"/>
          <w:lang w:val="es-ES" w:eastAsia="es-ES"/>
        </w:rPr>
      </w:pPr>
    </w:p>
    <w:p w14:paraId="60361723" w14:textId="77777777" w:rsidR="00786B34" w:rsidRPr="00AD27EB" w:rsidRDefault="00842059" w:rsidP="00786B34">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786B34" w:rsidRPr="00AD27EB" w:rsidRDefault="00F807DE" w:rsidP="00786B34">
      <w:pPr>
        <w:suppressAutoHyphens w:val="0"/>
        <w:jc w:val="both"/>
        <w:rPr>
          <w:rFonts w:cs="Arial"/>
          <w:b/>
          <w:sz w:val="24"/>
          <w:szCs w:val="24"/>
          <w:lang w:val="es-ES" w:eastAsia="es-ES"/>
        </w:rPr>
      </w:pPr>
    </w:p>
    <w:p w14:paraId="46F38F80" w14:textId="77777777" w:rsidR="00786B34" w:rsidRPr="00AD27EB" w:rsidRDefault="00842059" w:rsidP="00786B34">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786B34" w:rsidRPr="00AD27EB" w:rsidRDefault="00F807DE" w:rsidP="00786B34">
      <w:pPr>
        <w:suppressAutoHyphens w:val="0"/>
        <w:ind w:right="-142"/>
        <w:jc w:val="both"/>
        <w:rPr>
          <w:rFonts w:cs="Arial"/>
          <w:sz w:val="24"/>
          <w:szCs w:val="24"/>
          <w:lang w:val="es-ES_tradnl"/>
        </w:rPr>
      </w:pPr>
    </w:p>
    <w:p w14:paraId="708C89D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786B34" w:rsidRPr="00AD27EB" w:rsidRDefault="00F807DE" w:rsidP="00786B34">
      <w:pPr>
        <w:suppressAutoHyphens w:val="0"/>
        <w:ind w:right="-142"/>
        <w:jc w:val="both"/>
        <w:rPr>
          <w:rFonts w:cs="Arial"/>
          <w:sz w:val="24"/>
          <w:szCs w:val="24"/>
        </w:rPr>
      </w:pPr>
    </w:p>
    <w:p w14:paraId="5F39BF31" w14:textId="77777777" w:rsidR="00786B34" w:rsidRPr="00AD27EB" w:rsidRDefault="00842059" w:rsidP="00786B34">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786B34" w:rsidRPr="00AD27EB" w:rsidRDefault="00F807DE" w:rsidP="00786B34">
      <w:pPr>
        <w:suppressAutoHyphens w:val="0"/>
        <w:ind w:right="-142"/>
        <w:jc w:val="both"/>
        <w:rPr>
          <w:rFonts w:cs="Arial"/>
          <w:sz w:val="24"/>
          <w:szCs w:val="24"/>
          <w:lang w:val="es-ES_tradnl"/>
        </w:rPr>
      </w:pPr>
    </w:p>
    <w:p w14:paraId="5B82221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786B34" w:rsidRPr="00AD27EB" w:rsidRDefault="00F807DE" w:rsidP="00786B34">
      <w:pPr>
        <w:suppressAutoHyphens w:val="0"/>
        <w:ind w:right="-142"/>
        <w:jc w:val="both"/>
        <w:rPr>
          <w:rFonts w:cs="Arial"/>
          <w:sz w:val="24"/>
          <w:szCs w:val="24"/>
        </w:rPr>
      </w:pPr>
    </w:p>
    <w:p w14:paraId="7FD7303D" w14:textId="77777777" w:rsidR="00786B34" w:rsidRPr="00AD27EB" w:rsidRDefault="00842059" w:rsidP="00786B34">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786B34" w:rsidRPr="00AD27EB" w:rsidRDefault="00F807DE" w:rsidP="00786B34">
      <w:pPr>
        <w:pStyle w:val="NormalWeb"/>
        <w:spacing w:before="0" w:beforeAutospacing="0" w:after="0" w:afterAutospacing="0"/>
        <w:jc w:val="both"/>
        <w:rPr>
          <w:rFonts w:ascii="Arial" w:hAnsi="Arial" w:cs="Arial"/>
        </w:rPr>
      </w:pPr>
    </w:p>
    <w:p w14:paraId="48D731A2" w14:textId="77777777" w:rsidR="00786B34" w:rsidRPr="00AD27EB" w:rsidRDefault="00842059" w:rsidP="00786B34">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786B34" w:rsidRPr="00AD27EB" w:rsidRDefault="00F807DE" w:rsidP="00786B34">
      <w:pPr>
        <w:suppressAutoHyphens w:val="0"/>
        <w:ind w:right="-142"/>
        <w:jc w:val="both"/>
        <w:rPr>
          <w:rFonts w:cs="Arial"/>
          <w:sz w:val="24"/>
          <w:szCs w:val="24"/>
          <w:lang w:val="es-ES_tradnl"/>
        </w:rPr>
      </w:pPr>
    </w:p>
    <w:p w14:paraId="1B805A37" w14:textId="77777777" w:rsidR="00786B34" w:rsidRPr="00AD27EB" w:rsidRDefault="00842059" w:rsidP="00786B34">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786B34" w:rsidRPr="00AD27EB" w:rsidRDefault="00F807DE" w:rsidP="00786B34">
      <w:pPr>
        <w:suppressAutoHyphens w:val="0"/>
        <w:ind w:right="-142"/>
        <w:jc w:val="both"/>
        <w:rPr>
          <w:rFonts w:cs="Arial"/>
          <w:sz w:val="24"/>
          <w:szCs w:val="24"/>
          <w:lang w:val="es-ES_tradnl"/>
        </w:rPr>
      </w:pPr>
    </w:p>
    <w:p w14:paraId="0E3162C0" w14:textId="77777777" w:rsidR="00786B34" w:rsidRPr="00AD27EB" w:rsidRDefault="00842059" w:rsidP="00786B34">
      <w:pPr>
        <w:pStyle w:val="Default"/>
        <w:jc w:val="center"/>
        <w:rPr>
          <w:b/>
          <w:bCs/>
          <w:color w:val="auto"/>
          <w:u w:val="single"/>
        </w:rPr>
      </w:pPr>
      <w:r w:rsidRPr="00AD27EB">
        <w:rPr>
          <w:b/>
          <w:bCs/>
          <w:color w:val="auto"/>
          <w:u w:val="single"/>
        </w:rPr>
        <w:t>III. CONSIDERACIÓN PREVIA</w:t>
      </w:r>
    </w:p>
    <w:p w14:paraId="17A61C72" w14:textId="77777777" w:rsidR="00786B34" w:rsidRPr="00AD27EB" w:rsidRDefault="00F807DE" w:rsidP="00786B34">
      <w:pPr>
        <w:pStyle w:val="Default"/>
        <w:rPr>
          <w:color w:val="auto"/>
          <w:u w:val="single"/>
        </w:rPr>
      </w:pPr>
    </w:p>
    <w:p w14:paraId="5A9DF9D5" w14:textId="7C05523E" w:rsidR="00786B34" w:rsidRPr="00AD27EB" w:rsidRDefault="00842059" w:rsidP="00131D4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BB6CE5" w:rsidRPr="00613A11">
        <w:rPr>
          <w:noProof/>
          <w:highlight w:val="red"/>
        </w:rPr>
        <w:t>CONTRATO DE PRESTACION PROFESIONALES</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BB6CE5" w:rsidRPr="00613A11">
        <w:rPr>
          <w:noProof/>
          <w:highlight w:val="cyan"/>
        </w:rPr>
        <w:t>Prestación de servicios profesionales para realizar el acompañamiento y apoyo en el desarrollo y ejecución de los procesos en materia de salud pública y seguridad social en el municipio de Pereira.</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786B34" w:rsidRPr="00AD27EB" w:rsidRDefault="00F807DE" w:rsidP="00786B34">
      <w:pPr>
        <w:jc w:val="both"/>
        <w:rPr>
          <w:rFonts w:cs="Arial"/>
          <w:sz w:val="24"/>
          <w:szCs w:val="24"/>
        </w:rPr>
      </w:pPr>
    </w:p>
    <w:p w14:paraId="31E974AD" w14:textId="77777777" w:rsidR="00786B34" w:rsidRPr="00AD27EB" w:rsidRDefault="00F807DE" w:rsidP="00786B34">
      <w:pPr>
        <w:jc w:val="both"/>
        <w:rPr>
          <w:rFonts w:cs="Arial"/>
          <w:sz w:val="24"/>
          <w:szCs w:val="24"/>
          <w:lang w:val="es-MX"/>
        </w:rPr>
      </w:pPr>
    </w:p>
    <w:p w14:paraId="642DD182" w14:textId="77777777" w:rsidR="00786B34" w:rsidRPr="00AD27EB" w:rsidRDefault="00842059" w:rsidP="00786B34">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786B34" w:rsidRPr="00AD27EB" w:rsidRDefault="00F807DE" w:rsidP="00786B34">
      <w:pPr>
        <w:jc w:val="center"/>
        <w:rPr>
          <w:rFonts w:cs="Arial"/>
          <w:b/>
          <w:bCs/>
          <w:sz w:val="24"/>
          <w:szCs w:val="24"/>
          <w:u w:val="single"/>
          <w:lang w:val="es-MX"/>
        </w:rPr>
      </w:pPr>
    </w:p>
    <w:p w14:paraId="310AC5C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786B34" w:rsidRPr="00AD27EB" w:rsidRDefault="00F807DE" w:rsidP="00786B34">
      <w:pPr>
        <w:suppressAutoHyphens w:val="0"/>
        <w:jc w:val="both"/>
        <w:rPr>
          <w:rFonts w:cs="Arial"/>
          <w:sz w:val="24"/>
          <w:szCs w:val="24"/>
          <w:lang w:val="es-ES" w:eastAsia="es-ES"/>
        </w:rPr>
      </w:pPr>
    </w:p>
    <w:p w14:paraId="5E230C67"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786B34" w:rsidRPr="00AD27EB" w:rsidRDefault="00F807DE" w:rsidP="00786B34">
      <w:pPr>
        <w:suppressAutoHyphens w:val="0"/>
        <w:ind w:left="360"/>
        <w:jc w:val="both"/>
        <w:rPr>
          <w:rFonts w:cs="Arial"/>
          <w:sz w:val="24"/>
          <w:szCs w:val="24"/>
          <w:lang w:val="es-ES" w:eastAsia="es-ES"/>
        </w:rPr>
      </w:pPr>
    </w:p>
    <w:p w14:paraId="6531BF89"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786B34" w:rsidRPr="00AD27EB" w:rsidRDefault="00F807DE" w:rsidP="00786B34">
      <w:pPr>
        <w:pStyle w:val="Prrafodelista"/>
        <w:suppressAutoHyphens w:val="0"/>
        <w:jc w:val="both"/>
        <w:rPr>
          <w:rFonts w:cs="Arial"/>
          <w:sz w:val="24"/>
          <w:szCs w:val="24"/>
          <w:lang w:val="es-ES" w:eastAsia="es-ES"/>
        </w:rPr>
      </w:pPr>
    </w:p>
    <w:p w14:paraId="1A324C82"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786B34" w:rsidRPr="00AD27EB" w:rsidRDefault="00F807DE" w:rsidP="00786B34">
      <w:pPr>
        <w:pStyle w:val="Prrafodelista"/>
        <w:suppressAutoHyphens w:val="0"/>
        <w:jc w:val="both"/>
        <w:rPr>
          <w:rFonts w:cs="Arial"/>
          <w:sz w:val="24"/>
          <w:szCs w:val="24"/>
          <w:lang w:val="es-ES" w:eastAsia="es-ES"/>
        </w:rPr>
      </w:pPr>
    </w:p>
    <w:p w14:paraId="266E143C"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786B34" w:rsidRPr="00AD27EB" w:rsidRDefault="00F807DE" w:rsidP="00786B34">
      <w:pPr>
        <w:pStyle w:val="Prrafodelista"/>
        <w:suppressAutoHyphens w:val="0"/>
        <w:ind w:left="1440"/>
        <w:jc w:val="both"/>
        <w:rPr>
          <w:rFonts w:cs="Arial"/>
          <w:sz w:val="24"/>
          <w:szCs w:val="24"/>
          <w:lang w:val="es-ES" w:eastAsia="es-ES"/>
        </w:rPr>
      </w:pPr>
    </w:p>
    <w:p w14:paraId="0986F80D"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786B34" w:rsidRPr="00AD27EB" w:rsidRDefault="00F807DE" w:rsidP="00786B34">
      <w:pPr>
        <w:pStyle w:val="Prrafodelista"/>
        <w:rPr>
          <w:rFonts w:cs="Arial"/>
          <w:sz w:val="24"/>
          <w:szCs w:val="24"/>
          <w:lang w:val="es-ES" w:eastAsia="es-ES"/>
        </w:rPr>
      </w:pPr>
    </w:p>
    <w:p w14:paraId="4426FBAF"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786B34" w:rsidRPr="00AD27EB" w:rsidRDefault="00F807DE" w:rsidP="00786B34">
      <w:pPr>
        <w:pStyle w:val="Prrafodelista"/>
        <w:rPr>
          <w:rFonts w:cs="Arial"/>
          <w:sz w:val="24"/>
          <w:szCs w:val="24"/>
          <w:lang w:val="es-ES" w:eastAsia="es-ES"/>
        </w:rPr>
      </w:pPr>
    </w:p>
    <w:p w14:paraId="51810B6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786B34" w:rsidRPr="00AD27EB" w:rsidRDefault="00F807DE" w:rsidP="00786B34">
      <w:pPr>
        <w:suppressAutoHyphens w:val="0"/>
        <w:jc w:val="both"/>
        <w:rPr>
          <w:rFonts w:cs="Arial"/>
          <w:sz w:val="24"/>
          <w:szCs w:val="24"/>
          <w:lang w:val="es-ES" w:eastAsia="es-ES"/>
        </w:rPr>
      </w:pPr>
    </w:p>
    <w:p w14:paraId="26EA89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786B34" w:rsidRPr="00AD27EB" w:rsidRDefault="00F807DE" w:rsidP="00786B34">
      <w:pPr>
        <w:suppressAutoHyphens w:val="0"/>
        <w:jc w:val="both"/>
        <w:rPr>
          <w:rFonts w:cs="Arial"/>
          <w:sz w:val="24"/>
          <w:szCs w:val="24"/>
          <w:lang w:val="es-ES" w:eastAsia="es-ES"/>
        </w:rPr>
      </w:pPr>
    </w:p>
    <w:p w14:paraId="16D201B1"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786B34" w:rsidRPr="00AD27EB" w:rsidRDefault="00F807DE" w:rsidP="00786B34">
      <w:pPr>
        <w:suppressAutoHyphens w:val="0"/>
        <w:jc w:val="both"/>
        <w:rPr>
          <w:rFonts w:cs="Arial"/>
          <w:sz w:val="24"/>
          <w:szCs w:val="24"/>
          <w:lang w:val="es-ES" w:eastAsia="es-ES"/>
        </w:rPr>
      </w:pPr>
    </w:p>
    <w:p w14:paraId="02E71AC8"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786B34" w:rsidRPr="00AD27EB" w:rsidRDefault="00F807DE" w:rsidP="00786B34">
      <w:pPr>
        <w:suppressAutoHyphens w:val="0"/>
        <w:jc w:val="both"/>
        <w:rPr>
          <w:rFonts w:cs="Arial"/>
          <w:sz w:val="24"/>
          <w:szCs w:val="24"/>
          <w:lang w:val="es-ES" w:eastAsia="es-ES"/>
        </w:rPr>
      </w:pPr>
    </w:p>
    <w:p w14:paraId="1D4692EE"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786B34" w:rsidRPr="00AD27EB" w:rsidRDefault="00F807DE" w:rsidP="00786B34">
      <w:pPr>
        <w:suppressAutoHyphens w:val="0"/>
        <w:jc w:val="both"/>
        <w:rPr>
          <w:rFonts w:cs="Arial"/>
          <w:sz w:val="24"/>
          <w:szCs w:val="24"/>
          <w:lang w:val="es-ES" w:eastAsia="es-ES"/>
        </w:rPr>
      </w:pPr>
    </w:p>
    <w:p w14:paraId="302A582F" w14:textId="77777777" w:rsidR="00786B34" w:rsidRPr="00AD27EB" w:rsidRDefault="00842059" w:rsidP="00786B34">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786B34" w:rsidRPr="00AD27EB" w:rsidRDefault="00F807DE" w:rsidP="00786B34">
      <w:pPr>
        <w:suppressAutoHyphens w:val="0"/>
        <w:jc w:val="both"/>
        <w:rPr>
          <w:rFonts w:cs="Arial"/>
          <w:sz w:val="24"/>
          <w:szCs w:val="24"/>
        </w:rPr>
      </w:pPr>
    </w:p>
    <w:p w14:paraId="2178CEAF"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786B34" w:rsidRPr="00AD27EB" w:rsidRDefault="00842059" w:rsidP="00786B34">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786B34" w:rsidRPr="00AD27EB" w:rsidRDefault="00F807DE" w:rsidP="00786B34">
      <w:pPr>
        <w:rPr>
          <w:rFonts w:cs="Arial"/>
          <w:b/>
          <w:bCs/>
          <w:sz w:val="24"/>
          <w:szCs w:val="24"/>
          <w:u w:val="single"/>
        </w:rPr>
      </w:pPr>
    </w:p>
    <w:p w14:paraId="093422F0" w14:textId="77777777" w:rsidR="00786B34" w:rsidRPr="00AD27EB" w:rsidRDefault="00F807DE" w:rsidP="00786B34">
      <w:pPr>
        <w:suppressAutoHyphens w:val="0"/>
        <w:jc w:val="center"/>
        <w:rPr>
          <w:rFonts w:cs="Arial"/>
          <w:b/>
          <w:bCs/>
          <w:sz w:val="24"/>
          <w:szCs w:val="24"/>
          <w:lang w:val="es-ES" w:eastAsia="es-ES"/>
        </w:rPr>
      </w:pPr>
    </w:p>
    <w:p w14:paraId="302D04D0" w14:textId="77777777" w:rsidR="00786B34" w:rsidRPr="00AD27EB" w:rsidRDefault="00F807DE" w:rsidP="00786B34">
      <w:pPr>
        <w:suppressAutoHyphens w:val="0"/>
        <w:jc w:val="center"/>
        <w:rPr>
          <w:rFonts w:cs="Arial"/>
          <w:b/>
          <w:bCs/>
          <w:sz w:val="24"/>
          <w:szCs w:val="24"/>
          <w:lang w:val="es-ES" w:eastAsia="es-ES"/>
        </w:rPr>
      </w:pPr>
    </w:p>
    <w:p w14:paraId="4A1E7F2C" w14:textId="77777777" w:rsidR="00786B34" w:rsidRPr="00AD27EB" w:rsidRDefault="00F807DE" w:rsidP="00786B34">
      <w:pPr>
        <w:suppressAutoHyphens w:val="0"/>
        <w:jc w:val="both"/>
        <w:rPr>
          <w:rFonts w:cs="Arial"/>
          <w:b/>
          <w:bCs/>
          <w:sz w:val="24"/>
          <w:szCs w:val="24"/>
          <w:lang w:val="es-ES" w:eastAsia="es-ES"/>
        </w:rPr>
      </w:pPr>
    </w:p>
    <w:p w14:paraId="0F018C23" w14:textId="3CA85356"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BB6CE5" w:rsidRPr="00613A11">
        <w:rPr>
          <w:rFonts w:cs="Arial"/>
          <w:noProof/>
          <w:sz w:val="24"/>
          <w:szCs w:val="24"/>
          <w:highlight w:val="yellow"/>
          <w:lang w:val="es-MX"/>
        </w:rPr>
        <w:t>120</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BB6CE5" w:rsidRPr="00613A11">
        <w:rPr>
          <w:rFonts w:cs="Arial"/>
          <w:noProof/>
          <w:sz w:val="24"/>
          <w:szCs w:val="24"/>
          <w:highlight w:val="yellow"/>
          <w:lang w:val="es-MX"/>
        </w:rPr>
        <w:t>120</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786B34" w:rsidRPr="00AD27EB" w:rsidRDefault="00F807DE" w:rsidP="00786B34">
      <w:pPr>
        <w:suppressAutoHyphens w:val="0"/>
        <w:jc w:val="both"/>
        <w:rPr>
          <w:rFonts w:cs="Arial"/>
          <w:sz w:val="24"/>
          <w:szCs w:val="24"/>
          <w:lang w:val="es-ES" w:eastAsia="es-ES"/>
        </w:rPr>
      </w:pPr>
    </w:p>
    <w:p w14:paraId="79773239" w14:textId="77777777" w:rsidR="00786B34" w:rsidRPr="00AD27EB" w:rsidRDefault="00842059" w:rsidP="00786B34">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786B34" w:rsidRPr="00AD27EB" w:rsidRDefault="00F807DE" w:rsidP="00786B34">
      <w:pPr>
        <w:suppressAutoHyphens w:val="0"/>
        <w:jc w:val="both"/>
        <w:rPr>
          <w:rFonts w:cs="Arial"/>
          <w:sz w:val="24"/>
          <w:szCs w:val="24"/>
          <w:lang w:val="es-ES" w:eastAsia="es-ES"/>
        </w:rPr>
      </w:pPr>
    </w:p>
    <w:p w14:paraId="4E7E1D28"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786B34" w:rsidRPr="00AD27EB" w:rsidRDefault="00F807DE" w:rsidP="00786B34">
      <w:pPr>
        <w:suppressAutoHyphens w:val="0"/>
        <w:jc w:val="both"/>
        <w:rPr>
          <w:rFonts w:cs="Arial"/>
          <w:sz w:val="24"/>
          <w:szCs w:val="24"/>
          <w:lang w:val="es-ES" w:eastAsia="es-ES"/>
        </w:rPr>
      </w:pPr>
    </w:p>
    <w:p w14:paraId="1C20CECF" w14:textId="17662AA6"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proofErr w:type="spellStart"/>
      <w:r>
        <w:rPr>
          <w:rFonts w:cs="Arial"/>
          <w:sz w:val="24"/>
          <w:szCs w:val="24"/>
          <w:lang w:val="es-ES" w:eastAsia="es-ES"/>
        </w:rPr>
        <w:t>N°</w:t>
      </w:r>
      <w:proofErr w:type="spellEnd"/>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BB6CE5" w:rsidRPr="00613A11">
        <w:rPr>
          <w:rFonts w:cs="Arial"/>
          <w:noProof/>
          <w:sz w:val="24"/>
          <w:szCs w:val="24"/>
          <w:highlight w:val="yellow"/>
          <w:lang w:val="es-MX"/>
        </w:rPr>
        <w:t>120</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786B34" w:rsidRPr="00AD27EB" w:rsidRDefault="00F807DE" w:rsidP="00786B34">
      <w:pPr>
        <w:suppressAutoHyphens w:val="0"/>
        <w:jc w:val="both"/>
        <w:rPr>
          <w:rFonts w:cs="Arial"/>
          <w:sz w:val="24"/>
          <w:szCs w:val="24"/>
          <w:lang w:val="es-ES" w:eastAsia="es-ES"/>
        </w:rPr>
      </w:pPr>
    </w:p>
    <w:p w14:paraId="772A94C6" w14:textId="77777777" w:rsidR="00786B34" w:rsidRPr="00AD27EB" w:rsidRDefault="00842059" w:rsidP="00786B34">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786B34" w:rsidRPr="00AD27EB" w:rsidRDefault="00F807DE" w:rsidP="00786B34">
      <w:pPr>
        <w:suppressAutoHyphens w:val="0"/>
        <w:jc w:val="both"/>
        <w:rPr>
          <w:rFonts w:cs="Arial"/>
          <w:b/>
          <w:bCs/>
          <w:sz w:val="24"/>
          <w:szCs w:val="24"/>
          <w:u w:val="single"/>
          <w:lang w:val="es-ES" w:eastAsia="es-ES"/>
        </w:rPr>
      </w:pPr>
    </w:p>
    <w:p w14:paraId="3BF78CA6" w14:textId="77777777" w:rsidR="00786B34" w:rsidRPr="00AD27EB" w:rsidRDefault="00842059" w:rsidP="00786B34">
      <w:pPr>
        <w:pStyle w:val="Default"/>
        <w:rPr>
          <w:b/>
          <w:bCs/>
          <w:color w:val="auto"/>
        </w:rPr>
      </w:pPr>
      <w:r w:rsidRPr="00AD27EB">
        <w:rPr>
          <w:b/>
          <w:bCs/>
          <w:color w:val="auto"/>
        </w:rPr>
        <w:t xml:space="preserve">La Parte Receptora se obliga a: </w:t>
      </w:r>
    </w:p>
    <w:p w14:paraId="22DB9612" w14:textId="77777777" w:rsidR="00786B34" w:rsidRPr="00AD27EB" w:rsidRDefault="00F807DE" w:rsidP="00786B34">
      <w:pPr>
        <w:pStyle w:val="Default"/>
        <w:rPr>
          <w:color w:val="auto"/>
        </w:rPr>
      </w:pPr>
    </w:p>
    <w:p w14:paraId="5D18FB3E" w14:textId="77777777" w:rsidR="00786B34" w:rsidRPr="00AD27EB" w:rsidRDefault="00842059" w:rsidP="00786B34">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786B34" w:rsidRPr="00AD27EB" w:rsidRDefault="00F807DE" w:rsidP="00786B34">
      <w:pPr>
        <w:suppressAutoHyphens w:val="0"/>
        <w:jc w:val="both"/>
        <w:rPr>
          <w:rFonts w:cs="Arial"/>
          <w:sz w:val="24"/>
          <w:szCs w:val="24"/>
          <w:u w:val="single"/>
          <w:lang w:val="es-ES" w:eastAsia="es-ES"/>
        </w:rPr>
      </w:pPr>
    </w:p>
    <w:p w14:paraId="0AF6C220"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786B34" w:rsidRPr="00AD27EB" w:rsidRDefault="00F807DE" w:rsidP="00786B34">
      <w:pPr>
        <w:suppressAutoHyphens w:val="0"/>
        <w:jc w:val="both"/>
        <w:rPr>
          <w:rFonts w:cs="Arial"/>
          <w:sz w:val="24"/>
          <w:szCs w:val="24"/>
          <w:lang w:val="es-ES" w:eastAsia="es-ES"/>
        </w:rPr>
      </w:pPr>
    </w:p>
    <w:p w14:paraId="0EA8DE5B"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786B34" w:rsidRPr="00AD27EB" w:rsidRDefault="00F807DE" w:rsidP="00786B34">
      <w:pPr>
        <w:suppressAutoHyphens w:val="0"/>
        <w:jc w:val="both"/>
        <w:rPr>
          <w:rFonts w:cs="Arial"/>
          <w:sz w:val="24"/>
          <w:szCs w:val="24"/>
          <w:lang w:val="es-ES" w:eastAsia="es-ES"/>
        </w:rPr>
      </w:pPr>
    </w:p>
    <w:p w14:paraId="2DB93C85"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786B34" w:rsidRPr="00AD27EB" w:rsidRDefault="00F807DE" w:rsidP="00786B34">
      <w:pPr>
        <w:suppressAutoHyphens w:val="0"/>
        <w:jc w:val="both"/>
        <w:rPr>
          <w:rFonts w:cs="Arial"/>
          <w:sz w:val="24"/>
          <w:szCs w:val="24"/>
          <w:lang w:val="es-ES" w:eastAsia="es-ES"/>
        </w:rPr>
      </w:pPr>
    </w:p>
    <w:p w14:paraId="3CFAB023" w14:textId="77777777" w:rsidR="00786B34" w:rsidRPr="00AD27EB" w:rsidRDefault="00842059" w:rsidP="00786B34">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786B34" w:rsidRPr="00670F7C" w:rsidRDefault="00F807DE" w:rsidP="00786B34">
      <w:pPr>
        <w:pStyle w:val="Default"/>
        <w:jc w:val="both"/>
        <w:rPr>
          <w:color w:val="auto"/>
        </w:rPr>
      </w:pPr>
    </w:p>
    <w:p w14:paraId="6622B495" w14:textId="77777777" w:rsidR="00786B34" w:rsidRPr="00AD27EB" w:rsidRDefault="00842059" w:rsidP="00786B34">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786B34" w:rsidRPr="00AD27EB" w:rsidRDefault="00F807DE" w:rsidP="00786B34">
      <w:pPr>
        <w:pStyle w:val="Default"/>
        <w:numPr>
          <w:ilvl w:val="0"/>
          <w:numId w:val="3"/>
        </w:numPr>
        <w:jc w:val="both"/>
        <w:rPr>
          <w:color w:val="auto"/>
        </w:rPr>
      </w:pPr>
    </w:p>
    <w:p w14:paraId="4E710A3E" w14:textId="77777777" w:rsidR="00786B34" w:rsidRPr="00AD27EB" w:rsidRDefault="00842059" w:rsidP="00786B34">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786B34" w:rsidRPr="00AD27EB" w:rsidRDefault="00F807DE" w:rsidP="00786B34">
      <w:pPr>
        <w:pStyle w:val="NormalWeb"/>
        <w:spacing w:before="0" w:beforeAutospacing="0" w:after="0" w:afterAutospacing="0" w:line="158" w:lineRule="atLeast"/>
        <w:jc w:val="both"/>
        <w:rPr>
          <w:rFonts w:ascii="Arial" w:hAnsi="Arial" w:cs="Arial"/>
        </w:rPr>
      </w:pPr>
    </w:p>
    <w:p w14:paraId="4049C54C" w14:textId="77777777" w:rsidR="00786B34" w:rsidRPr="00AD27EB" w:rsidRDefault="00842059" w:rsidP="00786B34">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786B34" w:rsidRPr="00AD27EB" w:rsidRDefault="00F807DE" w:rsidP="00786B34">
      <w:pPr>
        <w:jc w:val="both"/>
        <w:rPr>
          <w:rFonts w:cs="Arial"/>
          <w:sz w:val="24"/>
          <w:szCs w:val="24"/>
        </w:rPr>
      </w:pPr>
    </w:p>
    <w:p w14:paraId="7728E584" w14:textId="77777777" w:rsidR="00786B34" w:rsidRPr="00AD27EB" w:rsidRDefault="00842059" w:rsidP="00786B34">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786B34" w:rsidRPr="00AD27EB" w:rsidRDefault="00F807DE" w:rsidP="00786B34">
      <w:pPr>
        <w:jc w:val="both"/>
        <w:rPr>
          <w:rFonts w:cs="Arial"/>
          <w:sz w:val="24"/>
          <w:szCs w:val="24"/>
        </w:rPr>
      </w:pPr>
    </w:p>
    <w:p w14:paraId="6D2918AD" w14:textId="77777777" w:rsidR="00786B34" w:rsidRPr="00AD27EB" w:rsidRDefault="00842059" w:rsidP="00786B34">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786B34" w:rsidRPr="00AD27EB" w:rsidRDefault="00F807DE" w:rsidP="00786B34">
      <w:pPr>
        <w:jc w:val="both"/>
        <w:rPr>
          <w:rFonts w:cs="Arial"/>
          <w:sz w:val="24"/>
          <w:szCs w:val="24"/>
        </w:rPr>
      </w:pPr>
    </w:p>
    <w:p w14:paraId="2F40A4CE" w14:textId="77777777" w:rsidR="00786B34" w:rsidRPr="00AD27EB" w:rsidRDefault="00842059" w:rsidP="00786B34">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786B34" w:rsidRPr="00AD27EB" w:rsidRDefault="00F807DE" w:rsidP="00786B34">
      <w:pPr>
        <w:jc w:val="both"/>
        <w:rPr>
          <w:rFonts w:cs="Arial"/>
          <w:sz w:val="24"/>
          <w:szCs w:val="24"/>
        </w:rPr>
      </w:pPr>
    </w:p>
    <w:p w14:paraId="23395C89" w14:textId="77777777" w:rsidR="00786B34" w:rsidRPr="00AD27EB" w:rsidRDefault="00842059" w:rsidP="00786B34">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786B34" w:rsidRPr="00AD27EB" w:rsidRDefault="00F807DE" w:rsidP="00786B34">
      <w:pPr>
        <w:jc w:val="both"/>
        <w:rPr>
          <w:rFonts w:cs="Arial"/>
          <w:sz w:val="24"/>
          <w:szCs w:val="24"/>
        </w:rPr>
      </w:pPr>
    </w:p>
    <w:p w14:paraId="0B417DA8" w14:textId="77777777" w:rsidR="00786B34" w:rsidRPr="00AD27EB" w:rsidRDefault="00842059" w:rsidP="00786B34">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786B34" w:rsidRPr="00AD27EB" w:rsidRDefault="00F807DE" w:rsidP="00786B34">
      <w:pPr>
        <w:pStyle w:val="Default"/>
        <w:numPr>
          <w:ilvl w:val="0"/>
          <w:numId w:val="3"/>
        </w:numPr>
        <w:rPr>
          <w:b/>
          <w:bCs/>
          <w:color w:val="auto"/>
          <w:u w:val="single"/>
        </w:rPr>
      </w:pPr>
    </w:p>
    <w:p w14:paraId="088C40C6"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786B34" w:rsidRPr="00AD27EB" w:rsidRDefault="00F807DE" w:rsidP="00786B34">
      <w:pPr>
        <w:suppressAutoHyphens w:val="0"/>
        <w:jc w:val="both"/>
        <w:rPr>
          <w:rFonts w:cs="Arial"/>
          <w:sz w:val="24"/>
          <w:szCs w:val="24"/>
          <w:lang w:val="es-ES" w:eastAsia="es-ES"/>
        </w:rPr>
      </w:pPr>
    </w:p>
    <w:p w14:paraId="46F033D2"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786B34" w:rsidRPr="00AD27EB" w:rsidRDefault="00F807DE" w:rsidP="00786B34">
      <w:pPr>
        <w:suppressAutoHyphens w:val="0"/>
        <w:jc w:val="both"/>
        <w:rPr>
          <w:rFonts w:cs="Arial"/>
          <w:sz w:val="24"/>
          <w:szCs w:val="24"/>
          <w:lang w:val="es-ES" w:eastAsia="es-ES"/>
        </w:rPr>
      </w:pPr>
    </w:p>
    <w:p w14:paraId="24AD6C1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786B34" w:rsidRPr="00AD27EB" w:rsidRDefault="00F807DE" w:rsidP="00786B34">
      <w:pPr>
        <w:suppressAutoHyphens w:val="0"/>
        <w:jc w:val="both"/>
        <w:rPr>
          <w:rFonts w:cs="Arial"/>
          <w:sz w:val="24"/>
          <w:szCs w:val="24"/>
          <w:lang w:val="es-ES" w:eastAsia="es-ES"/>
        </w:rPr>
      </w:pPr>
    </w:p>
    <w:p w14:paraId="69F0A4E9"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786B34" w:rsidRPr="00AD27EB" w:rsidRDefault="00F807DE" w:rsidP="00786B34">
      <w:pPr>
        <w:suppressAutoHyphens w:val="0"/>
        <w:jc w:val="both"/>
        <w:rPr>
          <w:rFonts w:cs="Arial"/>
          <w:sz w:val="24"/>
          <w:szCs w:val="24"/>
          <w:lang w:val="es-ES" w:eastAsia="es-ES"/>
        </w:rPr>
      </w:pPr>
    </w:p>
    <w:p w14:paraId="49C68E7B"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786B34" w:rsidRPr="00AD27EB" w:rsidRDefault="00F807DE" w:rsidP="00786B34">
      <w:pPr>
        <w:suppressAutoHyphens w:val="0"/>
        <w:jc w:val="both"/>
        <w:rPr>
          <w:rFonts w:cs="Arial"/>
          <w:sz w:val="24"/>
          <w:szCs w:val="24"/>
          <w:lang w:val="es-ES" w:eastAsia="es-ES"/>
        </w:rPr>
      </w:pPr>
    </w:p>
    <w:p w14:paraId="0F73B1A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786B34" w:rsidRPr="00AD27EB" w:rsidRDefault="00F807DE" w:rsidP="00786B34">
      <w:pPr>
        <w:suppressAutoHyphens w:val="0"/>
        <w:jc w:val="both"/>
        <w:rPr>
          <w:rFonts w:cs="Arial"/>
          <w:sz w:val="24"/>
          <w:szCs w:val="24"/>
          <w:lang w:val="es-ES" w:eastAsia="es-ES"/>
        </w:rPr>
      </w:pPr>
    </w:p>
    <w:p w14:paraId="33E76BE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786B34" w:rsidRPr="00AD27EB" w:rsidRDefault="00F807DE" w:rsidP="00786B34">
      <w:pPr>
        <w:suppressAutoHyphens w:val="0"/>
        <w:jc w:val="both"/>
        <w:rPr>
          <w:rFonts w:cs="Arial"/>
          <w:sz w:val="24"/>
          <w:szCs w:val="24"/>
          <w:lang w:val="es-ES" w:eastAsia="es-ES"/>
        </w:rPr>
      </w:pPr>
    </w:p>
    <w:p w14:paraId="790BA7E4" w14:textId="77777777" w:rsidR="00786B34" w:rsidRPr="00AD27EB" w:rsidRDefault="00842059" w:rsidP="00786B34">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786B34" w:rsidRPr="00AD27EB" w:rsidRDefault="00F807DE" w:rsidP="00786B34">
      <w:pPr>
        <w:suppressAutoHyphens w:val="0"/>
        <w:jc w:val="both"/>
        <w:rPr>
          <w:rFonts w:cs="Arial"/>
          <w:sz w:val="24"/>
          <w:szCs w:val="24"/>
          <w:lang w:val="es-ES" w:eastAsia="es-ES"/>
        </w:rPr>
      </w:pPr>
    </w:p>
    <w:p w14:paraId="3A0F168D"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786B34" w:rsidRPr="00AD27EB" w:rsidRDefault="00F807DE" w:rsidP="00786B34">
      <w:pPr>
        <w:suppressAutoHyphens w:val="0"/>
        <w:jc w:val="both"/>
        <w:rPr>
          <w:rFonts w:cs="Arial"/>
          <w:sz w:val="24"/>
          <w:szCs w:val="24"/>
          <w:lang w:val="es-ES" w:eastAsia="es-ES"/>
        </w:rPr>
      </w:pPr>
    </w:p>
    <w:p w14:paraId="24BCCC9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786B34" w:rsidRPr="00AD27EB" w:rsidRDefault="00F807DE" w:rsidP="00786B34">
      <w:pPr>
        <w:suppressAutoHyphens w:val="0"/>
        <w:jc w:val="both"/>
        <w:rPr>
          <w:rFonts w:cs="Arial"/>
          <w:sz w:val="24"/>
          <w:szCs w:val="24"/>
          <w:lang w:val="es-ES" w:eastAsia="es-ES"/>
        </w:rPr>
      </w:pPr>
    </w:p>
    <w:p w14:paraId="4D0D289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786B34" w:rsidRPr="00AD27EB" w:rsidRDefault="00F807DE" w:rsidP="00786B34">
      <w:pPr>
        <w:suppressAutoHyphens w:val="0"/>
        <w:jc w:val="both"/>
        <w:rPr>
          <w:rFonts w:cs="Arial"/>
          <w:sz w:val="24"/>
          <w:szCs w:val="24"/>
          <w:lang w:val="es-ES" w:eastAsia="es-ES"/>
        </w:rPr>
      </w:pPr>
    </w:p>
    <w:p w14:paraId="3B50561D"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786B34" w:rsidRPr="00AD27EB" w:rsidRDefault="00F807DE" w:rsidP="00786B34">
      <w:pPr>
        <w:suppressAutoHyphens w:val="0"/>
        <w:jc w:val="both"/>
        <w:rPr>
          <w:rFonts w:cs="Arial"/>
          <w:sz w:val="24"/>
          <w:szCs w:val="24"/>
          <w:u w:val="single"/>
          <w:lang w:val="es-ES" w:eastAsia="es-ES"/>
        </w:rPr>
      </w:pPr>
    </w:p>
    <w:p w14:paraId="099721B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786B34" w:rsidRPr="00AD27EB" w:rsidRDefault="00F807DE" w:rsidP="00786B34">
      <w:pPr>
        <w:suppressAutoHyphens w:val="0"/>
        <w:jc w:val="both"/>
        <w:rPr>
          <w:rFonts w:cs="Arial"/>
          <w:sz w:val="24"/>
          <w:szCs w:val="24"/>
          <w:lang w:val="es-ES" w:eastAsia="es-ES"/>
        </w:rPr>
      </w:pPr>
    </w:p>
    <w:p w14:paraId="19BD51F0"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786B34" w:rsidRPr="00AD27EB" w:rsidRDefault="00F807DE" w:rsidP="00786B34">
      <w:pPr>
        <w:suppressAutoHyphens w:val="0"/>
        <w:jc w:val="both"/>
        <w:rPr>
          <w:rFonts w:cs="Arial"/>
          <w:b/>
          <w:sz w:val="24"/>
          <w:szCs w:val="24"/>
        </w:rPr>
      </w:pPr>
    </w:p>
    <w:p w14:paraId="22083DD3"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786B34" w:rsidRPr="00AD27EB" w:rsidRDefault="00F807DE" w:rsidP="00786B34">
      <w:pPr>
        <w:suppressAutoHyphens w:val="0"/>
        <w:jc w:val="both"/>
        <w:rPr>
          <w:rFonts w:cs="Arial"/>
          <w:sz w:val="24"/>
          <w:szCs w:val="24"/>
          <w:lang w:val="es-ES" w:eastAsia="es-ES"/>
        </w:rPr>
      </w:pPr>
    </w:p>
    <w:p w14:paraId="6053E196"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786B34" w:rsidRPr="00AD27EB" w:rsidRDefault="00F807DE" w:rsidP="00786B34">
      <w:pPr>
        <w:suppressAutoHyphens w:val="0"/>
        <w:jc w:val="both"/>
        <w:rPr>
          <w:rFonts w:cs="Arial"/>
          <w:sz w:val="24"/>
          <w:szCs w:val="24"/>
        </w:rPr>
      </w:pPr>
    </w:p>
    <w:p w14:paraId="2805C603" w14:textId="77777777" w:rsidR="00786B34" w:rsidRPr="00AD27EB" w:rsidRDefault="00842059" w:rsidP="00786B34">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786B34" w:rsidRPr="00AD27EB" w:rsidRDefault="00F807DE" w:rsidP="00786B34">
      <w:pPr>
        <w:jc w:val="both"/>
        <w:rPr>
          <w:rFonts w:cs="Arial"/>
          <w:sz w:val="24"/>
          <w:szCs w:val="24"/>
        </w:rPr>
      </w:pPr>
    </w:p>
    <w:p w14:paraId="4F3AAE34" w14:textId="77777777" w:rsidR="00786B34" w:rsidRPr="00AD27EB" w:rsidRDefault="00842059" w:rsidP="00786B34">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786B34" w:rsidRPr="00AD27EB" w:rsidRDefault="00F807DE" w:rsidP="00786B34">
      <w:pPr>
        <w:jc w:val="both"/>
        <w:rPr>
          <w:rFonts w:cs="Arial"/>
          <w:sz w:val="24"/>
          <w:szCs w:val="24"/>
        </w:rPr>
      </w:pPr>
    </w:p>
    <w:p w14:paraId="5F26AB6D" w14:textId="77777777" w:rsidR="00786B34" w:rsidRPr="00AD27EB" w:rsidRDefault="00842059" w:rsidP="00786B34">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786B34" w:rsidRPr="00AD27EB" w:rsidRDefault="00F807DE" w:rsidP="00786B34">
      <w:pPr>
        <w:jc w:val="both"/>
        <w:rPr>
          <w:rFonts w:cs="Arial"/>
          <w:sz w:val="24"/>
          <w:szCs w:val="24"/>
        </w:rPr>
      </w:pPr>
    </w:p>
    <w:p w14:paraId="2163C3D1" w14:textId="77777777" w:rsidR="00786B34" w:rsidRPr="00AD27EB" w:rsidRDefault="00842059" w:rsidP="00786B34">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786B34" w:rsidRPr="00AD27EB" w:rsidRDefault="00F807DE" w:rsidP="00786B34">
      <w:pPr>
        <w:jc w:val="both"/>
        <w:rPr>
          <w:rFonts w:cs="Arial"/>
          <w:sz w:val="24"/>
          <w:szCs w:val="24"/>
        </w:rPr>
      </w:pPr>
    </w:p>
    <w:p w14:paraId="6167A774" w14:textId="77777777" w:rsidR="00786B34" w:rsidRPr="00AD27EB" w:rsidRDefault="00842059" w:rsidP="00786B34">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786B34" w:rsidRPr="00AD27EB" w:rsidRDefault="00F807DE" w:rsidP="00786B34">
      <w:pPr>
        <w:jc w:val="both"/>
        <w:rPr>
          <w:rFonts w:cs="Arial"/>
          <w:sz w:val="24"/>
          <w:szCs w:val="24"/>
        </w:rPr>
      </w:pPr>
    </w:p>
    <w:p w14:paraId="0FCD2C9F" w14:textId="77777777" w:rsidR="00786B34" w:rsidRPr="00AD27EB" w:rsidRDefault="00842059" w:rsidP="00786B34">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786B34" w:rsidRPr="00AD27EB" w:rsidRDefault="00F807DE" w:rsidP="00786B34">
      <w:pPr>
        <w:jc w:val="both"/>
        <w:rPr>
          <w:rFonts w:cs="Arial"/>
          <w:sz w:val="24"/>
          <w:szCs w:val="24"/>
        </w:rPr>
      </w:pPr>
    </w:p>
    <w:p w14:paraId="1882B223" w14:textId="77777777" w:rsidR="00786B34" w:rsidRPr="00AD27EB" w:rsidRDefault="00842059" w:rsidP="00786B34">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786B34" w:rsidRPr="00AD27EB" w:rsidRDefault="00F807DE" w:rsidP="00786B34">
      <w:pPr>
        <w:jc w:val="both"/>
        <w:rPr>
          <w:rFonts w:cs="Arial"/>
          <w:sz w:val="24"/>
          <w:szCs w:val="24"/>
        </w:rPr>
      </w:pPr>
    </w:p>
    <w:p w14:paraId="26CE9B7B" w14:textId="77777777" w:rsidR="00786B34" w:rsidRPr="00AD27EB" w:rsidRDefault="00842059" w:rsidP="00786B34">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786B34" w:rsidRPr="00AD27EB" w:rsidRDefault="00F807DE" w:rsidP="00786B34">
      <w:pPr>
        <w:jc w:val="both"/>
        <w:rPr>
          <w:rFonts w:cs="Arial"/>
          <w:sz w:val="24"/>
          <w:szCs w:val="24"/>
        </w:rPr>
      </w:pPr>
    </w:p>
    <w:p w14:paraId="3C5C8950" w14:textId="77777777" w:rsidR="00786B34" w:rsidRPr="00AD27EB" w:rsidRDefault="00842059" w:rsidP="00786B34">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786B34" w:rsidRPr="00AD27EB" w:rsidRDefault="00F807DE" w:rsidP="00786B34">
      <w:pPr>
        <w:suppressAutoHyphens w:val="0"/>
        <w:jc w:val="both"/>
        <w:rPr>
          <w:rFonts w:cs="Arial"/>
          <w:sz w:val="24"/>
          <w:szCs w:val="24"/>
        </w:rPr>
      </w:pPr>
    </w:p>
    <w:p w14:paraId="10D11291" w14:textId="77777777" w:rsidR="00786B34" w:rsidRPr="00AD27EB" w:rsidRDefault="00F807DE" w:rsidP="00786B34">
      <w:pPr>
        <w:suppressAutoHyphens w:val="0"/>
        <w:jc w:val="both"/>
        <w:rPr>
          <w:rFonts w:cs="Arial"/>
          <w:sz w:val="24"/>
          <w:szCs w:val="24"/>
          <w:lang w:val="es-ES" w:eastAsia="es-ES"/>
        </w:rPr>
      </w:pPr>
    </w:p>
    <w:p w14:paraId="3FC1F814"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786B34" w:rsidRPr="00AD27EB" w:rsidRDefault="00F807DE" w:rsidP="00786B34">
      <w:pPr>
        <w:suppressAutoHyphens w:val="0"/>
        <w:jc w:val="both"/>
        <w:rPr>
          <w:rFonts w:cs="Arial"/>
          <w:sz w:val="24"/>
          <w:szCs w:val="24"/>
          <w:lang w:val="es-ES" w:eastAsia="es-ES"/>
        </w:rPr>
      </w:pPr>
    </w:p>
    <w:p w14:paraId="1327C49B" w14:textId="77777777" w:rsidR="00786B34" w:rsidRPr="00AD27EB" w:rsidRDefault="00842059" w:rsidP="00786B34">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786B34" w:rsidRPr="00AD27EB" w:rsidRDefault="00F807DE" w:rsidP="00786B34">
      <w:pPr>
        <w:suppressAutoHyphens w:val="0"/>
        <w:jc w:val="both"/>
        <w:rPr>
          <w:rFonts w:cs="Arial"/>
          <w:sz w:val="24"/>
          <w:szCs w:val="24"/>
          <w:u w:val="single"/>
          <w:lang w:val="es-MX" w:eastAsia="es-ES"/>
        </w:rPr>
      </w:pPr>
    </w:p>
    <w:p w14:paraId="7246C02A"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786B34" w:rsidRPr="00AD27EB" w:rsidRDefault="00F807DE" w:rsidP="00786B34">
      <w:pPr>
        <w:suppressAutoHyphens w:val="0"/>
        <w:jc w:val="both"/>
        <w:rPr>
          <w:rFonts w:cs="Arial"/>
          <w:sz w:val="24"/>
          <w:szCs w:val="24"/>
          <w:lang w:val="es-ES" w:eastAsia="es-ES"/>
        </w:rPr>
      </w:pPr>
    </w:p>
    <w:p w14:paraId="0497F3B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786B34" w:rsidRPr="00AD27EB" w:rsidRDefault="00F807DE" w:rsidP="00786B34">
      <w:pPr>
        <w:suppressAutoHyphens w:val="0"/>
        <w:jc w:val="both"/>
        <w:rPr>
          <w:rFonts w:cs="Arial"/>
          <w:sz w:val="24"/>
          <w:szCs w:val="24"/>
          <w:lang w:val="es-ES" w:eastAsia="es-ES"/>
        </w:rPr>
      </w:pPr>
    </w:p>
    <w:p w14:paraId="0B79E17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786B34" w:rsidRPr="00AD27EB" w:rsidRDefault="00F807DE" w:rsidP="00786B34">
      <w:pPr>
        <w:suppressAutoHyphens w:val="0"/>
        <w:jc w:val="both"/>
        <w:rPr>
          <w:rFonts w:cs="Arial"/>
          <w:sz w:val="24"/>
          <w:szCs w:val="24"/>
          <w:lang w:val="es-ES" w:eastAsia="es-ES"/>
        </w:rPr>
      </w:pPr>
    </w:p>
    <w:p w14:paraId="4A211C02" w14:textId="77777777" w:rsidR="00786B34" w:rsidRPr="00AD27EB" w:rsidRDefault="00842059" w:rsidP="00786B34">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A00033" w:rsidRDefault="00F807DE" w:rsidP="00786B34">
      <w:pPr>
        <w:pStyle w:val="Default"/>
        <w:jc w:val="both"/>
        <w:rPr>
          <w:color w:val="auto"/>
        </w:rPr>
      </w:pPr>
    </w:p>
    <w:p w14:paraId="2AF76D84" w14:textId="77777777" w:rsidR="002A3BC1" w:rsidRPr="00AD27EB" w:rsidRDefault="00F807DE" w:rsidP="00786B34">
      <w:pPr>
        <w:pStyle w:val="Default"/>
        <w:jc w:val="both"/>
        <w:rPr>
          <w:color w:val="auto"/>
        </w:rPr>
      </w:pPr>
    </w:p>
    <w:p w14:paraId="6D046D2A"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786B34" w:rsidRDefault="00F807DE" w:rsidP="00786B34">
      <w:pPr>
        <w:suppressAutoHyphens w:val="0"/>
        <w:jc w:val="both"/>
        <w:rPr>
          <w:rFonts w:cs="Arial"/>
          <w:sz w:val="24"/>
          <w:szCs w:val="24"/>
          <w:lang w:val="es-ES" w:eastAsia="es-ES"/>
        </w:rPr>
      </w:pPr>
    </w:p>
    <w:p w14:paraId="050EA752" w14:textId="77777777" w:rsidR="002A3BC1" w:rsidRPr="00AD27EB" w:rsidRDefault="00F807DE" w:rsidP="00786B34">
      <w:pPr>
        <w:suppressAutoHyphens w:val="0"/>
        <w:jc w:val="both"/>
        <w:rPr>
          <w:rFonts w:cs="Arial"/>
          <w:sz w:val="24"/>
          <w:szCs w:val="24"/>
          <w:lang w:val="es-ES" w:eastAsia="es-ES"/>
        </w:rPr>
      </w:pPr>
    </w:p>
    <w:p w14:paraId="7A8C3EC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786B34" w:rsidRDefault="00F807DE" w:rsidP="00786B34">
      <w:pPr>
        <w:suppressAutoHyphens w:val="0"/>
        <w:jc w:val="both"/>
        <w:rPr>
          <w:rFonts w:cs="Arial"/>
          <w:sz w:val="24"/>
          <w:szCs w:val="24"/>
          <w:lang w:val="es-ES" w:eastAsia="es-ES"/>
        </w:rPr>
      </w:pPr>
    </w:p>
    <w:p w14:paraId="0D84B35C" w14:textId="77777777" w:rsidR="002A3BC1" w:rsidRPr="00AD27EB" w:rsidRDefault="00F807DE" w:rsidP="00786B34">
      <w:pPr>
        <w:suppressAutoHyphens w:val="0"/>
        <w:jc w:val="both"/>
        <w:rPr>
          <w:rFonts w:cs="Arial"/>
          <w:sz w:val="24"/>
          <w:szCs w:val="24"/>
          <w:lang w:val="es-ES" w:eastAsia="es-ES"/>
        </w:rPr>
      </w:pPr>
    </w:p>
    <w:p w14:paraId="4E5429B1"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786B34" w:rsidRDefault="00F807DE" w:rsidP="00786B34">
      <w:pPr>
        <w:suppressAutoHyphens w:val="0"/>
        <w:jc w:val="both"/>
        <w:rPr>
          <w:rFonts w:cs="Arial"/>
          <w:sz w:val="24"/>
          <w:szCs w:val="24"/>
          <w:lang w:val="es-ES" w:eastAsia="es-ES"/>
        </w:rPr>
      </w:pPr>
    </w:p>
    <w:p w14:paraId="03CA6906" w14:textId="77777777" w:rsidR="002A3BC1" w:rsidRPr="00AD27EB" w:rsidRDefault="00F807DE" w:rsidP="00786B34">
      <w:pPr>
        <w:suppressAutoHyphens w:val="0"/>
        <w:jc w:val="both"/>
        <w:rPr>
          <w:rFonts w:cs="Arial"/>
          <w:sz w:val="24"/>
          <w:szCs w:val="24"/>
          <w:lang w:val="es-ES" w:eastAsia="es-ES"/>
        </w:rPr>
      </w:pPr>
    </w:p>
    <w:p w14:paraId="0D40A1F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2A3BC1"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786B34" w:rsidRPr="00AD27EB" w:rsidRDefault="00F807DE" w:rsidP="00786B34">
      <w:pPr>
        <w:suppressAutoHyphens w:val="0"/>
        <w:jc w:val="both"/>
        <w:rPr>
          <w:rFonts w:cs="Arial"/>
          <w:sz w:val="24"/>
          <w:szCs w:val="24"/>
          <w:lang w:val="es-ES" w:eastAsia="es-ES"/>
        </w:rPr>
      </w:pPr>
    </w:p>
    <w:p w14:paraId="40FA3083"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786B34" w:rsidRPr="00AD27EB" w:rsidRDefault="00F807DE" w:rsidP="00786B34">
      <w:pPr>
        <w:suppressAutoHyphens w:val="0"/>
        <w:jc w:val="both"/>
        <w:rPr>
          <w:rFonts w:cs="Arial"/>
          <w:sz w:val="24"/>
          <w:szCs w:val="24"/>
          <w:lang w:val="es-ES" w:eastAsia="es-ES"/>
        </w:rPr>
      </w:pPr>
    </w:p>
    <w:p w14:paraId="510EB803" w14:textId="77777777" w:rsidR="00786B34" w:rsidRDefault="00F807DE" w:rsidP="00786B34">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131D4B" w:rsidRPr="00AD27EB" w14:paraId="07D6BD09" w14:textId="77777777" w:rsidTr="00131D4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131D4B" w:rsidRPr="00AD27EB" w14:paraId="755419DF" w14:textId="77777777" w:rsidTr="00131D4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131D4B" w:rsidRDefault="00F807DE" w:rsidP="00131D4B">
            <w:pPr>
              <w:suppressAutoHyphens w:val="0"/>
              <w:jc w:val="both"/>
              <w:rPr>
                <w:rFonts w:cs="Arial"/>
                <w:sz w:val="24"/>
                <w:szCs w:val="24"/>
                <w:lang w:val="es-ES" w:eastAsia="es-ES"/>
              </w:rPr>
            </w:pPr>
          </w:p>
          <w:p w14:paraId="38A25865" w14:textId="77777777" w:rsidR="00131D4B" w:rsidRDefault="00F807DE" w:rsidP="00131D4B">
            <w:pPr>
              <w:suppressAutoHyphens w:val="0"/>
              <w:jc w:val="both"/>
              <w:rPr>
                <w:rFonts w:cs="Arial"/>
                <w:sz w:val="24"/>
                <w:szCs w:val="24"/>
                <w:lang w:val="es-ES" w:eastAsia="es-ES"/>
              </w:rPr>
            </w:pPr>
          </w:p>
          <w:p w14:paraId="4725FE32" w14:textId="77777777" w:rsidR="00131D4B" w:rsidRDefault="00F807DE" w:rsidP="00131D4B">
            <w:pPr>
              <w:suppressAutoHyphens w:val="0"/>
              <w:jc w:val="both"/>
              <w:rPr>
                <w:rFonts w:cs="Arial"/>
                <w:sz w:val="24"/>
                <w:szCs w:val="24"/>
                <w:lang w:val="es-ES" w:eastAsia="es-ES"/>
              </w:rPr>
            </w:pPr>
          </w:p>
          <w:p w14:paraId="1795A666" w14:textId="77777777" w:rsidR="00131D4B" w:rsidRDefault="00842059" w:rsidP="00131D4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42962621" w:rsidR="00131D4B" w:rsidRPr="00AD27EB" w:rsidRDefault="00842059" w:rsidP="00703C9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BB6CE5" w:rsidRPr="00613A11">
              <w:rPr>
                <w:rFonts w:cs="Arial"/>
                <w:noProof/>
                <w:sz w:val="24"/>
                <w:szCs w:val="24"/>
                <w:highlight w:val="green"/>
                <w:lang w:val="es-ES" w:eastAsia="es-ES"/>
              </w:rPr>
              <w:t>YENY ANEIDER  RIOS  ALZATE</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131D4B" w:rsidRDefault="00F807DE" w:rsidP="00131D4B">
            <w:pPr>
              <w:suppressAutoHyphens w:val="0"/>
              <w:jc w:val="both"/>
              <w:rPr>
                <w:rFonts w:cs="Arial"/>
                <w:b/>
                <w:bCs/>
                <w:sz w:val="24"/>
                <w:szCs w:val="24"/>
                <w:lang w:val="es-ES" w:eastAsia="es-ES"/>
              </w:rPr>
            </w:pPr>
          </w:p>
          <w:p w14:paraId="67C03054" w14:textId="77777777" w:rsidR="001E795E" w:rsidRDefault="00F807DE" w:rsidP="00131D4B">
            <w:pPr>
              <w:suppressAutoHyphens w:val="0"/>
              <w:jc w:val="both"/>
              <w:rPr>
                <w:rFonts w:cs="Arial"/>
                <w:sz w:val="24"/>
                <w:szCs w:val="24"/>
                <w:lang w:val="es-ES" w:eastAsia="es-ES"/>
              </w:rPr>
            </w:pPr>
          </w:p>
          <w:p w14:paraId="530AEDD7" w14:textId="77777777" w:rsidR="001E795E" w:rsidRDefault="00F807DE" w:rsidP="00131D4B">
            <w:pPr>
              <w:suppressAutoHyphens w:val="0"/>
              <w:jc w:val="both"/>
              <w:rPr>
                <w:rFonts w:cs="Arial"/>
                <w:sz w:val="24"/>
                <w:szCs w:val="24"/>
                <w:lang w:val="es-ES" w:eastAsia="es-ES"/>
              </w:rPr>
            </w:pPr>
          </w:p>
          <w:p w14:paraId="65533D73" w14:textId="77777777" w:rsidR="001E795E" w:rsidRDefault="00F807DE" w:rsidP="00131D4B">
            <w:pPr>
              <w:suppressAutoHyphens w:val="0"/>
              <w:jc w:val="both"/>
              <w:rPr>
                <w:rFonts w:cs="Arial"/>
                <w:sz w:val="24"/>
                <w:szCs w:val="24"/>
                <w:lang w:val="es-ES" w:eastAsia="es-ES"/>
              </w:rPr>
            </w:pPr>
          </w:p>
          <w:p w14:paraId="456957A4" w14:textId="77777777" w:rsidR="001E795E" w:rsidRPr="00AD27EB" w:rsidRDefault="00842059" w:rsidP="00131D4B">
            <w:pPr>
              <w:suppressAutoHyphens w:val="0"/>
              <w:jc w:val="both"/>
              <w:rPr>
                <w:rFonts w:cs="Arial"/>
                <w:sz w:val="24"/>
                <w:szCs w:val="24"/>
                <w:lang w:val="es-ES" w:eastAsia="es-ES"/>
              </w:rPr>
            </w:pPr>
            <w:r>
              <w:rPr>
                <w:rFonts w:cs="Arial"/>
                <w:sz w:val="24"/>
                <w:szCs w:val="24"/>
                <w:lang w:val="es-ES" w:eastAsia="es-ES"/>
              </w:rPr>
              <w:t>ANA YOLIMA SANCHEZ GUTIERREZ</w:t>
            </w:r>
          </w:p>
        </w:tc>
      </w:tr>
      <w:tr w:rsidR="00131D4B" w:rsidRPr="00AD27EB" w14:paraId="3C0DDCCE" w14:textId="77777777" w:rsidTr="00131D4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670F7C" w:rsidRPr="00AD27EB" w:rsidRDefault="00F807DE" w:rsidP="00786B34">
      <w:pPr>
        <w:suppressAutoHyphens w:val="0"/>
        <w:jc w:val="both"/>
        <w:rPr>
          <w:rFonts w:cs="Arial"/>
          <w:sz w:val="24"/>
          <w:szCs w:val="24"/>
          <w:lang w:val="es-ES" w:eastAsia="es-ES"/>
        </w:rPr>
      </w:pPr>
    </w:p>
    <w:p w14:paraId="7E6F8977" w14:textId="77777777" w:rsidR="00786B34" w:rsidRPr="00AD27EB" w:rsidRDefault="00F807DE" w:rsidP="00786B34">
      <w:pPr>
        <w:suppressAutoHyphens w:val="0"/>
        <w:jc w:val="both"/>
        <w:rPr>
          <w:rFonts w:cs="Arial"/>
          <w:sz w:val="24"/>
          <w:szCs w:val="24"/>
          <w:lang w:val="es-ES" w:eastAsia="es-ES"/>
        </w:rPr>
      </w:pPr>
    </w:p>
    <w:p w14:paraId="17F9860E" w14:textId="77777777" w:rsidR="00786B34" w:rsidRPr="00AD27EB" w:rsidRDefault="00F807DE" w:rsidP="00786B34">
      <w:pPr>
        <w:jc w:val="both"/>
        <w:rPr>
          <w:rFonts w:cs="Arial"/>
          <w:sz w:val="24"/>
          <w:szCs w:val="24"/>
        </w:rPr>
      </w:pPr>
    </w:p>
    <w:bookmarkEnd w:id="0"/>
    <w:p w14:paraId="5A98893F" w14:textId="77777777" w:rsidR="00786B34" w:rsidRPr="00AD27EB" w:rsidRDefault="00F807DE" w:rsidP="00786B34">
      <w:pPr>
        <w:rPr>
          <w:rFonts w:cs="Arial"/>
          <w:sz w:val="24"/>
          <w:szCs w:val="24"/>
        </w:rPr>
      </w:pPr>
    </w:p>
    <w:p w14:paraId="28D61EA3" w14:textId="77777777" w:rsidR="00231045" w:rsidRPr="00AD27EB" w:rsidRDefault="00F807DE">
      <w:pPr>
        <w:rPr>
          <w:rFonts w:cs="Arial"/>
          <w:sz w:val="24"/>
          <w:szCs w:val="24"/>
        </w:rPr>
      </w:pPr>
    </w:p>
    <w:sectPr w:rsidR="00231045" w:rsidRPr="00AD27EB" w:rsidSect="00BD487F">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F605D9" w:rsidRDefault="00842059">
      <w:r>
        <w:separator/>
      </w:r>
    </w:p>
  </w:endnote>
  <w:endnote w:type="continuationSeparator" w:id="0">
    <w:p w14:paraId="6615022B" w14:textId="77777777" w:rsidR="00F605D9" w:rsidRDefault="008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91946" w:rsidRDefault="0084205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F605D9" w:rsidRDefault="00842059">
      <w:r>
        <w:separator/>
      </w:r>
    </w:p>
  </w:footnote>
  <w:footnote w:type="continuationSeparator" w:id="0">
    <w:p w14:paraId="23A698C6" w14:textId="77777777" w:rsidR="00F605D9" w:rsidRDefault="0084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05A8F9F6" w:rsidR="00491946" w:rsidRDefault="00BB6CE5" w:rsidP="00BD487F">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2FB674BB">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84205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91946" w:rsidRDefault="00F807DE" w:rsidP="00BD487F">
    <w:pPr>
      <w:suppressAutoHyphens w:val="0"/>
      <w:rPr>
        <w:rFonts w:ascii="Arial-BoldMT" w:hAnsi="Arial-BoldMT" w:cs="Times New Roman"/>
        <w:b/>
        <w:bCs/>
        <w:color w:val="000000"/>
        <w:lang w:val="es-ES" w:eastAsia="es-ES"/>
      </w:rPr>
    </w:pPr>
  </w:p>
  <w:p w14:paraId="170C83A8" w14:textId="5D052918" w:rsidR="00491946" w:rsidRDefault="00BB6CE5">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0A46E67E">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03B35BE6">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1B5DEFB8">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61119"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842059"/>
    <w:rsid w:val="00BB6CE5"/>
    <w:rsid w:val="00F605D9"/>
    <w:rsid w:val="00F807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4260</Words>
  <Characters>23433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LAURA FERNANDA HINCAPIE FRANCO</cp:lastModifiedBy>
  <cp:revision>3</cp:revision>
  <dcterms:created xsi:type="dcterms:W3CDTF">2021-06-04T20:11:00Z</dcterms:created>
  <dcterms:modified xsi:type="dcterms:W3CDTF">2021-06-04T20:11:00Z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